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2B75" w14:textId="4064046B" w:rsidR="0031111A" w:rsidRPr="00F25895" w:rsidRDefault="0031111A" w:rsidP="00AA11EA">
      <w:pPr>
        <w:widowControl w:val="0"/>
        <w:pBdr>
          <w:top w:val="nil"/>
          <w:left w:val="nil"/>
          <w:bottom w:val="nil"/>
          <w:right w:val="nil"/>
          <w:between w:val="nil"/>
        </w:pBdr>
        <w:spacing w:after="0" w:line="240" w:lineRule="auto"/>
        <w:jc w:val="center"/>
        <w:rPr>
          <w:rFonts w:ascii="Arial" w:eastAsia="Times New Roman" w:hAnsi="Arial" w:cs="Arial"/>
          <w:b/>
          <w:color w:val="000000" w:themeColor="text1"/>
          <w:kern w:val="0"/>
          <w:sz w:val="24"/>
          <w:szCs w:val="24"/>
          <w:lang w:val="es-ES" w:eastAsia="es-ES"/>
          <w14:ligatures w14:val="none"/>
        </w:rPr>
      </w:pPr>
      <w:bookmarkStart w:id="0" w:name="_Hlk157644467"/>
      <w:r w:rsidRPr="00F25895">
        <w:rPr>
          <w:rFonts w:ascii="Arial" w:eastAsia="Times New Roman" w:hAnsi="Arial" w:cs="Arial"/>
          <w:b/>
          <w:color w:val="000000" w:themeColor="text1"/>
          <w:kern w:val="0"/>
          <w:sz w:val="24"/>
          <w:szCs w:val="24"/>
          <w:lang w:val="es-ES" w:eastAsia="es-ES"/>
          <w14:ligatures w14:val="none"/>
        </w:rPr>
        <w:t xml:space="preserve">PROYECTO DE ACUERDO No. </w:t>
      </w:r>
      <w:r w:rsidR="003813C6">
        <w:rPr>
          <w:rFonts w:ascii="Arial" w:eastAsia="Times New Roman" w:hAnsi="Arial" w:cs="Arial"/>
          <w:b/>
          <w:color w:val="000000" w:themeColor="text1"/>
          <w:kern w:val="0"/>
          <w:sz w:val="24"/>
          <w:szCs w:val="24"/>
          <w:lang w:val="es-ES" w:eastAsia="es-ES"/>
          <w14:ligatures w14:val="none"/>
        </w:rPr>
        <w:t>069</w:t>
      </w:r>
      <w:r w:rsidRPr="00F25895">
        <w:rPr>
          <w:rFonts w:ascii="Arial" w:eastAsia="Times New Roman" w:hAnsi="Arial" w:cs="Arial"/>
          <w:b/>
          <w:color w:val="000000" w:themeColor="text1"/>
          <w:kern w:val="0"/>
          <w:sz w:val="24"/>
          <w:szCs w:val="24"/>
          <w:lang w:val="es-ES" w:eastAsia="es-ES"/>
          <w14:ligatures w14:val="none"/>
        </w:rPr>
        <w:t xml:space="preserve"> DE 202</w:t>
      </w:r>
      <w:r w:rsidR="003813C6">
        <w:rPr>
          <w:rFonts w:ascii="Arial" w:eastAsia="Times New Roman" w:hAnsi="Arial" w:cs="Arial"/>
          <w:b/>
          <w:color w:val="000000" w:themeColor="text1"/>
          <w:kern w:val="0"/>
          <w:sz w:val="24"/>
          <w:szCs w:val="24"/>
          <w:lang w:val="es-ES" w:eastAsia="es-ES"/>
          <w14:ligatures w14:val="none"/>
        </w:rPr>
        <w:t>5</w:t>
      </w:r>
    </w:p>
    <w:p w14:paraId="31D8E240" w14:textId="77777777" w:rsidR="0031111A" w:rsidRPr="00F25895" w:rsidRDefault="0031111A" w:rsidP="0031111A">
      <w:pPr>
        <w:widowControl w:val="0"/>
        <w:pBdr>
          <w:top w:val="nil"/>
          <w:left w:val="nil"/>
          <w:bottom w:val="nil"/>
          <w:right w:val="nil"/>
          <w:between w:val="nil"/>
        </w:pBdr>
        <w:spacing w:after="0" w:line="240" w:lineRule="auto"/>
        <w:rPr>
          <w:rFonts w:ascii="Arial" w:eastAsia="Times New Roman" w:hAnsi="Arial" w:cs="Arial"/>
          <w:color w:val="000000" w:themeColor="text1"/>
          <w:kern w:val="0"/>
          <w:sz w:val="24"/>
          <w:szCs w:val="24"/>
          <w:lang w:val="es-ES" w:eastAsia="es-ES"/>
          <w14:ligatures w14:val="none"/>
        </w:rPr>
      </w:pPr>
    </w:p>
    <w:bookmarkEnd w:id="0"/>
    <w:p w14:paraId="57344F24" w14:textId="4AE9F31F" w:rsidR="004C6E9E" w:rsidRPr="004C6E9E" w:rsidRDefault="004C6E9E" w:rsidP="004C6E9E">
      <w:pPr>
        <w:widowControl w:val="0"/>
        <w:pBdr>
          <w:top w:val="nil"/>
          <w:left w:val="nil"/>
          <w:bottom w:val="nil"/>
          <w:right w:val="nil"/>
          <w:between w:val="nil"/>
        </w:pBdr>
        <w:spacing w:after="0" w:line="240" w:lineRule="auto"/>
        <w:jc w:val="center"/>
        <w:rPr>
          <w:rFonts w:ascii="Arial" w:hAnsi="Arial" w:cs="Arial"/>
          <w:b/>
          <w:i/>
          <w:iCs/>
          <w:color w:val="000000" w:themeColor="text1"/>
          <w:sz w:val="24"/>
          <w:szCs w:val="24"/>
          <w:lang w:val="es-ES"/>
        </w:rPr>
      </w:pPr>
      <w:r w:rsidRPr="004C6E9E">
        <w:rPr>
          <w:rFonts w:ascii="Arial" w:hAnsi="Arial" w:cs="Arial"/>
          <w:b/>
          <w:i/>
          <w:iCs/>
          <w:color w:val="000000" w:themeColor="text1"/>
          <w:sz w:val="24"/>
          <w:szCs w:val="24"/>
          <w:lang w:val="es-ES"/>
        </w:rPr>
        <w:t xml:space="preserve">“POR MEDIO DEL CUAL SE CREA Y SE ADOPTA EL PROGRAMA DE INCENTIVOS PARA LA CONSTRUCCIÓN E INSTALACIÓN DE ELECTROLINERAS EN EL </w:t>
      </w:r>
      <w:r>
        <w:rPr>
          <w:rFonts w:ascii="Arial" w:hAnsi="Arial" w:cs="Arial"/>
          <w:b/>
          <w:i/>
          <w:iCs/>
          <w:color w:val="000000" w:themeColor="text1"/>
          <w:sz w:val="24"/>
          <w:szCs w:val="24"/>
          <w:lang w:val="es-ES"/>
        </w:rPr>
        <w:t>DIS</w:t>
      </w:r>
      <w:r w:rsidRPr="004C6E9E">
        <w:rPr>
          <w:rFonts w:ascii="Arial" w:hAnsi="Arial" w:cs="Arial"/>
          <w:b/>
          <w:i/>
          <w:iCs/>
          <w:color w:val="000000" w:themeColor="text1"/>
          <w:sz w:val="24"/>
          <w:szCs w:val="24"/>
          <w:lang w:val="es-ES"/>
        </w:rPr>
        <w:t>TRITO CAPITAL”</w:t>
      </w:r>
    </w:p>
    <w:p w14:paraId="3B48FE2C" w14:textId="1041A192" w:rsidR="0031111A" w:rsidRPr="00F25895" w:rsidRDefault="0031111A" w:rsidP="0031111A">
      <w:pPr>
        <w:widowControl w:val="0"/>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p>
    <w:p w14:paraId="7A4BAD68" w14:textId="77777777" w:rsidR="0031111A" w:rsidRPr="00F25895" w:rsidRDefault="0031111A" w:rsidP="0031111A">
      <w:pPr>
        <w:widowControl w:val="0"/>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 xml:space="preserve">OBJETO DEL PROYECTO </w:t>
      </w:r>
    </w:p>
    <w:p w14:paraId="44485D4D" w14:textId="77777777" w:rsidR="0031111A" w:rsidRPr="00F25895" w:rsidRDefault="0031111A" w:rsidP="0031111A">
      <w:pPr>
        <w:widowControl w:val="0"/>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p>
    <w:p w14:paraId="14E4212F" w14:textId="4CDC3E74" w:rsidR="00AA11EA" w:rsidRDefault="004C6E9E" w:rsidP="00AA11EA">
      <w:pPr>
        <w:pStyle w:val="Sinespaciado"/>
        <w:rPr>
          <w:rFonts w:ascii="Arial" w:hAnsi="Arial" w:cs="Arial"/>
          <w:color w:val="000000" w:themeColor="text1"/>
          <w:sz w:val="24"/>
          <w:szCs w:val="24"/>
        </w:rPr>
      </w:pPr>
      <w:r w:rsidRPr="004C6E9E">
        <w:rPr>
          <w:rFonts w:ascii="Arial" w:hAnsi="Arial" w:cs="Arial"/>
          <w:color w:val="000000" w:themeColor="text1"/>
          <w:sz w:val="24"/>
          <w:szCs w:val="24"/>
        </w:rPr>
        <w:t>El presente Acuerdo tiene por objeto crear y adoptar el programa de incentivos para la construcción e instalación de electrolineras en el Distrito Capital</w:t>
      </w:r>
    </w:p>
    <w:p w14:paraId="3854BAB6" w14:textId="77777777" w:rsidR="004C6E9E" w:rsidRPr="00F25895" w:rsidRDefault="004C6E9E" w:rsidP="00AA11EA">
      <w:pPr>
        <w:pStyle w:val="Sinespaciado"/>
        <w:rPr>
          <w:rFonts w:ascii="Arial" w:hAnsi="Arial" w:cs="Arial"/>
          <w:sz w:val="24"/>
          <w:szCs w:val="24"/>
        </w:rPr>
      </w:pPr>
    </w:p>
    <w:p w14:paraId="4FF26994" w14:textId="10614F10" w:rsidR="0031111A" w:rsidRDefault="0031111A" w:rsidP="002C6B1C">
      <w:pPr>
        <w:pStyle w:val="Sinespaciado"/>
        <w:numPr>
          <w:ilvl w:val="0"/>
          <w:numId w:val="15"/>
        </w:numPr>
        <w:rPr>
          <w:rFonts w:ascii="Arial" w:hAnsi="Arial" w:cs="Arial"/>
          <w:b/>
          <w:sz w:val="24"/>
          <w:szCs w:val="24"/>
        </w:rPr>
      </w:pPr>
      <w:r w:rsidRPr="00F25895">
        <w:rPr>
          <w:rFonts w:ascii="Arial" w:hAnsi="Arial" w:cs="Arial"/>
          <w:b/>
          <w:sz w:val="24"/>
          <w:szCs w:val="24"/>
        </w:rPr>
        <w:t xml:space="preserve">SUSTENTO JURÍDICO </w:t>
      </w:r>
    </w:p>
    <w:p w14:paraId="0022C985" w14:textId="77777777" w:rsidR="002C6B1C" w:rsidRPr="002C6B1C" w:rsidRDefault="002C6B1C" w:rsidP="002C6B1C">
      <w:pPr>
        <w:pStyle w:val="Sinespaciado"/>
        <w:ind w:left="1080"/>
        <w:rPr>
          <w:rFonts w:ascii="Arial" w:hAnsi="Arial" w:cs="Arial"/>
          <w:b/>
          <w:sz w:val="24"/>
          <w:szCs w:val="24"/>
        </w:rPr>
      </w:pPr>
    </w:p>
    <w:p w14:paraId="39294DA1" w14:textId="77777777" w:rsidR="0031111A" w:rsidRPr="00F25895" w:rsidRDefault="0031111A" w:rsidP="0031111A">
      <w:pPr>
        <w:widowControl w:val="0"/>
        <w:numPr>
          <w:ilvl w:val="0"/>
          <w:numId w:val="1"/>
        </w:numPr>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DE ORDEN CONSTITUCIONAL</w:t>
      </w:r>
    </w:p>
    <w:p w14:paraId="67F5C8B5" w14:textId="3C9D632C" w:rsidR="0031111A" w:rsidRPr="00F25895" w:rsidRDefault="0031111A" w:rsidP="0031111A">
      <w:pPr>
        <w:pStyle w:val="NormalWeb"/>
        <w:shd w:val="clear" w:color="auto" w:fill="FFFFFF"/>
        <w:jc w:val="both"/>
        <w:rPr>
          <w:rFonts w:ascii="Arial" w:hAnsi="Arial" w:cs="Arial"/>
          <w:i/>
          <w:iCs/>
          <w:color w:val="000000" w:themeColor="text1"/>
        </w:rPr>
      </w:pPr>
      <w:r w:rsidRPr="00F25895">
        <w:rPr>
          <w:rFonts w:ascii="Arial" w:hAnsi="Arial" w:cs="Arial"/>
          <w:b/>
          <w:bCs/>
          <w:i/>
          <w:iCs/>
          <w:color w:val="000000" w:themeColor="text1"/>
        </w:rPr>
        <w:t>“</w:t>
      </w:r>
      <w:r w:rsidR="005E62AF" w:rsidRPr="00F25895">
        <w:rPr>
          <w:rFonts w:ascii="Arial" w:hAnsi="Arial" w:cs="Arial"/>
          <w:b/>
          <w:bCs/>
          <w:i/>
          <w:iCs/>
          <w:color w:val="000000" w:themeColor="text1"/>
        </w:rPr>
        <w:t xml:space="preserve">Artículo </w:t>
      </w:r>
      <w:r w:rsidRPr="00F25895">
        <w:rPr>
          <w:rFonts w:ascii="Arial" w:hAnsi="Arial" w:cs="Arial"/>
          <w:b/>
          <w:bCs/>
          <w:i/>
          <w:iCs/>
          <w:color w:val="000000" w:themeColor="text1"/>
        </w:rPr>
        <w:t>  2.</w:t>
      </w:r>
      <w:r w:rsidRPr="00F25895">
        <w:rPr>
          <w:rStyle w:val="apple-converted-space"/>
          <w:rFonts w:ascii="Arial" w:hAnsi="Arial" w:cs="Arial"/>
          <w:b/>
          <w:bCs/>
          <w:i/>
          <w:iCs/>
          <w:color w:val="000000" w:themeColor="text1"/>
        </w:rPr>
        <w:t> </w:t>
      </w:r>
      <w:r w:rsidRPr="00F25895">
        <w:rPr>
          <w:rFonts w:ascii="Arial" w:hAnsi="Arial" w:cs="Arial"/>
          <w:i/>
          <w:iCs/>
          <w:color w:val="000000" w:themeColor="text1"/>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5B21BB11" w14:textId="46375BFE" w:rsidR="0031111A" w:rsidRPr="00F25895" w:rsidRDefault="0031111A" w:rsidP="0031111A">
      <w:pPr>
        <w:pStyle w:val="NormalWeb"/>
        <w:shd w:val="clear" w:color="auto" w:fill="FFFFFF"/>
        <w:jc w:val="both"/>
        <w:rPr>
          <w:rFonts w:ascii="Arial" w:hAnsi="Arial" w:cs="Arial"/>
          <w:i/>
          <w:iCs/>
          <w:color w:val="000000" w:themeColor="text1"/>
        </w:rPr>
      </w:pPr>
      <w:r w:rsidRPr="00F25895">
        <w:rPr>
          <w:rFonts w:ascii="Arial" w:hAnsi="Arial" w:cs="Arial"/>
          <w:i/>
          <w:iCs/>
          <w:color w:val="000000" w:themeColor="text1"/>
        </w:rPr>
        <w:t>Las autoridades de la República están instituidas para proteger a todas las personas residentes en Colombia, en su vida, honra, bienes, creencias, y demás derechos y libertades, y para asegurar el cumplimiento de los deberes sociales del Estado y de los particulares.</w:t>
      </w:r>
      <w:r w:rsidR="005E62AF" w:rsidRPr="00F25895">
        <w:rPr>
          <w:rFonts w:ascii="Arial" w:hAnsi="Arial" w:cs="Arial"/>
          <w:i/>
          <w:iCs/>
          <w:color w:val="000000" w:themeColor="text1"/>
        </w:rPr>
        <w:t>”</w:t>
      </w:r>
    </w:p>
    <w:p w14:paraId="59AAF5C7" w14:textId="46751F3F" w:rsidR="005E62AF" w:rsidRPr="00F25895" w:rsidRDefault="005E62AF" w:rsidP="005E62AF">
      <w:pPr>
        <w:pStyle w:val="NormalWeb"/>
        <w:shd w:val="clear" w:color="auto" w:fill="FFFFFF"/>
        <w:jc w:val="both"/>
        <w:rPr>
          <w:rFonts w:ascii="Arial" w:hAnsi="Arial" w:cs="Arial"/>
          <w:i/>
          <w:iCs/>
          <w:color w:val="000000" w:themeColor="text1"/>
          <w:shd w:val="clear" w:color="auto" w:fill="FFFFFF"/>
        </w:rPr>
      </w:pPr>
      <w:r w:rsidRPr="00F25895">
        <w:rPr>
          <w:rFonts w:ascii="Arial" w:hAnsi="Arial" w:cs="Arial"/>
          <w:i/>
          <w:iCs/>
          <w:color w:val="000000" w:themeColor="text1"/>
          <w:shd w:val="clear" w:color="auto" w:fill="FFFFFF"/>
        </w:rPr>
        <w:t xml:space="preserve">(…) </w:t>
      </w:r>
    </w:p>
    <w:p w14:paraId="7B06483E" w14:textId="020BEC27" w:rsidR="005243EF" w:rsidRPr="00F25895" w:rsidRDefault="005243EF" w:rsidP="005E62AF">
      <w:pPr>
        <w:pStyle w:val="NormalWeb"/>
        <w:shd w:val="clear" w:color="auto" w:fill="FFFFFF"/>
        <w:jc w:val="both"/>
        <w:rPr>
          <w:rFonts w:ascii="Arial" w:hAnsi="Arial" w:cs="Arial"/>
          <w:b/>
          <w:i/>
          <w:iCs/>
          <w:color w:val="000000" w:themeColor="text1"/>
        </w:rPr>
      </w:pPr>
      <w:r w:rsidRPr="00F25895">
        <w:rPr>
          <w:rFonts w:ascii="Arial" w:hAnsi="Arial" w:cs="Arial"/>
          <w:b/>
          <w:i/>
          <w:iCs/>
          <w:color w:val="000000" w:themeColor="text1"/>
        </w:rPr>
        <w:t xml:space="preserve">“ARTICULO 79. </w:t>
      </w:r>
      <w:r w:rsidRPr="00F25895">
        <w:rPr>
          <w:rFonts w:ascii="Arial" w:hAnsi="Arial" w:cs="Arial"/>
          <w:bCs/>
          <w:i/>
          <w:iCs/>
          <w:color w:val="000000" w:themeColor="text1"/>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14:paraId="21C934C6" w14:textId="38BB225C" w:rsidR="0031111A" w:rsidRDefault="005E62AF" w:rsidP="002C6B1C">
      <w:pPr>
        <w:shd w:val="clear" w:color="auto" w:fill="FFFFFF"/>
        <w:spacing w:after="0" w:line="240" w:lineRule="auto"/>
        <w:ind w:right="106"/>
        <w:jc w:val="both"/>
        <w:rPr>
          <w:rFonts w:ascii="Arial" w:eastAsia="Times New Roman" w:hAnsi="Arial" w:cs="Arial"/>
          <w:color w:val="000000" w:themeColor="text1"/>
          <w:kern w:val="0"/>
          <w:sz w:val="24"/>
          <w:szCs w:val="24"/>
          <w:lang w:eastAsia="es-CO"/>
          <w14:ligatures w14:val="none"/>
        </w:rPr>
      </w:pPr>
      <w:r w:rsidRPr="00F25895">
        <w:rPr>
          <w:rFonts w:ascii="Arial" w:eastAsia="Times New Roman" w:hAnsi="Arial" w:cs="Arial"/>
          <w:color w:val="000000" w:themeColor="text1"/>
          <w:kern w:val="0"/>
          <w:sz w:val="24"/>
          <w:szCs w:val="24"/>
          <w:lang w:eastAsia="es-CO"/>
          <w14:ligatures w14:val="none"/>
        </w:rPr>
        <w:t>“</w:t>
      </w:r>
      <w:r w:rsidR="0031111A" w:rsidRPr="00F25895">
        <w:rPr>
          <w:rFonts w:ascii="Arial" w:eastAsia="Times New Roman" w:hAnsi="Arial" w:cs="Arial"/>
          <w:b/>
          <w:bCs/>
          <w:color w:val="000000" w:themeColor="text1"/>
          <w:kern w:val="0"/>
          <w:sz w:val="24"/>
          <w:szCs w:val="24"/>
          <w:lang w:eastAsia="es-CO"/>
          <w14:ligatures w14:val="none"/>
        </w:rPr>
        <w:t>Artículo </w:t>
      </w:r>
      <w:hyperlink r:id="rId7" w:anchor="209" w:history="1">
        <w:r w:rsidR="0031111A" w:rsidRPr="00F25895">
          <w:rPr>
            <w:rFonts w:ascii="Arial" w:eastAsia="Times New Roman" w:hAnsi="Arial" w:cs="Arial"/>
            <w:b/>
            <w:bCs/>
            <w:color w:val="000000" w:themeColor="text1"/>
            <w:kern w:val="0"/>
            <w:sz w:val="24"/>
            <w:szCs w:val="24"/>
            <w:lang w:eastAsia="es-CO"/>
            <w14:ligatures w14:val="none"/>
          </w:rPr>
          <w:t>209</w:t>
        </w:r>
      </w:hyperlink>
      <w:r w:rsidRPr="00F25895">
        <w:rPr>
          <w:rFonts w:ascii="Arial" w:eastAsia="Times New Roman" w:hAnsi="Arial" w:cs="Arial"/>
          <w:b/>
          <w:bCs/>
          <w:color w:val="000000" w:themeColor="text1"/>
          <w:kern w:val="0"/>
          <w:sz w:val="24"/>
          <w:szCs w:val="24"/>
          <w:lang w:eastAsia="es-CO"/>
          <w14:ligatures w14:val="none"/>
        </w:rPr>
        <w:t>.</w:t>
      </w:r>
      <w:r w:rsidRPr="00F25895">
        <w:rPr>
          <w:rFonts w:ascii="Arial" w:eastAsia="Times New Roman" w:hAnsi="Arial" w:cs="Arial"/>
          <w:color w:val="000000" w:themeColor="text1"/>
          <w:kern w:val="0"/>
          <w:sz w:val="24"/>
          <w:szCs w:val="24"/>
          <w:lang w:eastAsia="es-CO"/>
          <w14:ligatures w14:val="none"/>
        </w:rPr>
        <w:t xml:space="preserve"> </w:t>
      </w:r>
      <w:r w:rsidR="0031111A" w:rsidRPr="00F25895">
        <w:rPr>
          <w:rFonts w:ascii="Arial" w:eastAsia="Times New Roman" w:hAnsi="Arial" w:cs="Arial"/>
          <w:i/>
          <w:iCs/>
          <w:color w:val="000000" w:themeColor="text1"/>
          <w:kern w:val="0"/>
          <w:sz w:val="24"/>
          <w:szCs w:val="24"/>
          <w:lang w:eastAsia="es-CO"/>
          <w14:ligatures w14:val="none"/>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r w:rsidR="0031111A" w:rsidRPr="00F25895">
        <w:rPr>
          <w:rFonts w:ascii="Arial" w:eastAsia="Times New Roman" w:hAnsi="Arial" w:cs="Arial"/>
          <w:color w:val="000000" w:themeColor="text1"/>
          <w:kern w:val="0"/>
          <w:sz w:val="24"/>
          <w:szCs w:val="24"/>
          <w:lang w:eastAsia="es-CO"/>
          <w14:ligatures w14:val="none"/>
        </w:rPr>
        <w:t>.</w:t>
      </w:r>
    </w:p>
    <w:p w14:paraId="7E21F6E3" w14:textId="77777777" w:rsidR="002C6B1C" w:rsidRPr="002C6B1C" w:rsidRDefault="002C6B1C" w:rsidP="002C6B1C">
      <w:pPr>
        <w:shd w:val="clear" w:color="auto" w:fill="FFFFFF"/>
        <w:spacing w:after="0" w:line="240" w:lineRule="auto"/>
        <w:ind w:right="106"/>
        <w:jc w:val="both"/>
        <w:rPr>
          <w:rFonts w:ascii="Arial" w:eastAsia="Times New Roman" w:hAnsi="Arial" w:cs="Arial"/>
          <w:color w:val="000000" w:themeColor="text1"/>
          <w:kern w:val="0"/>
          <w:sz w:val="24"/>
          <w:szCs w:val="24"/>
          <w:lang w:eastAsia="es-CO"/>
          <w14:ligatures w14:val="none"/>
        </w:rPr>
      </w:pPr>
    </w:p>
    <w:p w14:paraId="75B8F3C3" w14:textId="7296DB6B" w:rsidR="0031111A" w:rsidRPr="00F25895" w:rsidRDefault="0031111A" w:rsidP="0031111A">
      <w:pPr>
        <w:numPr>
          <w:ilvl w:val="0"/>
          <w:numId w:val="1"/>
        </w:numPr>
        <w:spacing w:after="0" w:line="240" w:lineRule="auto"/>
        <w:jc w:val="both"/>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lastRenderedPageBreak/>
        <w:t>DE ORDEN LEGAL</w:t>
      </w:r>
    </w:p>
    <w:p w14:paraId="6A6DDD8A" w14:textId="77777777" w:rsidR="00621C9B" w:rsidRPr="00F25895" w:rsidRDefault="00621C9B" w:rsidP="00621C9B">
      <w:pPr>
        <w:widowControl w:val="0"/>
        <w:pBdr>
          <w:top w:val="nil"/>
          <w:left w:val="nil"/>
          <w:bottom w:val="nil"/>
          <w:right w:val="nil"/>
          <w:between w:val="nil"/>
        </w:pBdr>
        <w:spacing w:after="0" w:line="240" w:lineRule="auto"/>
        <w:rPr>
          <w:rFonts w:ascii="Arial" w:hAnsi="Arial" w:cs="Arial"/>
          <w:b/>
          <w:bCs/>
          <w:color w:val="000000" w:themeColor="text1"/>
          <w:sz w:val="24"/>
          <w:szCs w:val="24"/>
          <w:lang w:eastAsia="es-CO"/>
        </w:rPr>
      </w:pPr>
    </w:p>
    <w:p w14:paraId="229B339E" w14:textId="7E23723E" w:rsidR="00626ACF" w:rsidRDefault="00626ACF" w:rsidP="00626ACF">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r w:rsidRPr="00626ACF">
        <w:rPr>
          <w:rFonts w:ascii="Arial" w:hAnsi="Arial" w:cs="Arial"/>
          <w:color w:val="000000" w:themeColor="text1"/>
          <w:sz w:val="24"/>
          <w:szCs w:val="24"/>
          <w:lang w:eastAsia="es-CO"/>
        </w:rPr>
        <w:t>L</w:t>
      </w:r>
      <w:r>
        <w:rPr>
          <w:rFonts w:ascii="Arial" w:hAnsi="Arial" w:cs="Arial"/>
          <w:color w:val="000000" w:themeColor="text1"/>
          <w:sz w:val="24"/>
          <w:szCs w:val="24"/>
          <w:lang w:eastAsia="es-CO"/>
        </w:rPr>
        <w:t>ey</w:t>
      </w:r>
      <w:r w:rsidRPr="00626ACF">
        <w:rPr>
          <w:rFonts w:ascii="Arial" w:hAnsi="Arial" w:cs="Arial"/>
          <w:color w:val="000000" w:themeColor="text1"/>
          <w:sz w:val="24"/>
          <w:szCs w:val="24"/>
          <w:lang w:eastAsia="es-CO"/>
        </w:rPr>
        <w:t xml:space="preserve"> 1931 </w:t>
      </w:r>
      <w:r>
        <w:rPr>
          <w:rFonts w:ascii="Arial" w:hAnsi="Arial" w:cs="Arial"/>
          <w:color w:val="000000" w:themeColor="text1"/>
          <w:sz w:val="24"/>
          <w:szCs w:val="24"/>
          <w:lang w:eastAsia="es-CO"/>
        </w:rPr>
        <w:t>de</w:t>
      </w:r>
      <w:r w:rsidRPr="00626ACF">
        <w:rPr>
          <w:rFonts w:ascii="Arial" w:hAnsi="Arial" w:cs="Arial"/>
          <w:color w:val="000000" w:themeColor="text1"/>
          <w:sz w:val="24"/>
          <w:szCs w:val="24"/>
          <w:lang w:eastAsia="es-CO"/>
        </w:rPr>
        <w:t xml:space="preserve"> 2018</w:t>
      </w:r>
      <w:r>
        <w:rPr>
          <w:rFonts w:ascii="Arial" w:hAnsi="Arial" w:cs="Arial"/>
          <w:color w:val="000000" w:themeColor="text1"/>
          <w:sz w:val="24"/>
          <w:szCs w:val="24"/>
          <w:lang w:eastAsia="es-CO"/>
        </w:rPr>
        <w:t xml:space="preserve"> - </w:t>
      </w:r>
      <w:r w:rsidR="00A1570F" w:rsidRPr="00626ACF">
        <w:rPr>
          <w:rFonts w:ascii="Arial" w:hAnsi="Arial" w:cs="Arial"/>
          <w:i/>
          <w:iCs/>
          <w:color w:val="000000" w:themeColor="text1"/>
          <w:sz w:val="24"/>
          <w:szCs w:val="24"/>
          <w:lang w:eastAsia="es-CO"/>
        </w:rPr>
        <w:t>“</w:t>
      </w:r>
      <w:r w:rsidR="00A1570F">
        <w:rPr>
          <w:rFonts w:ascii="Arial" w:hAnsi="Arial" w:cs="Arial"/>
          <w:i/>
          <w:iCs/>
          <w:color w:val="000000" w:themeColor="text1"/>
          <w:sz w:val="24"/>
          <w:szCs w:val="24"/>
          <w:lang w:eastAsia="es-CO"/>
        </w:rPr>
        <w:t>P</w:t>
      </w:r>
      <w:r w:rsidR="00A1570F" w:rsidRPr="00626ACF">
        <w:rPr>
          <w:rFonts w:ascii="Arial" w:hAnsi="Arial" w:cs="Arial"/>
          <w:i/>
          <w:iCs/>
          <w:color w:val="000000" w:themeColor="text1"/>
          <w:sz w:val="24"/>
          <w:szCs w:val="24"/>
          <w:lang w:eastAsia="es-CO"/>
        </w:rPr>
        <w:t>or la cual se establecen directrices para la gestión del cambio climático”</w:t>
      </w:r>
    </w:p>
    <w:p w14:paraId="2BEDA520" w14:textId="77777777" w:rsidR="00626ACF" w:rsidRDefault="00626ACF"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p>
    <w:p w14:paraId="44394287" w14:textId="6D14A8D7" w:rsidR="00937BF7" w:rsidRPr="00937BF7" w:rsidRDefault="00937BF7" w:rsidP="00341B2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937BF7">
        <w:rPr>
          <w:rFonts w:ascii="Arial" w:hAnsi="Arial" w:cs="Arial"/>
          <w:b/>
          <w:bCs/>
          <w:i/>
          <w:iCs/>
          <w:color w:val="000000" w:themeColor="text1"/>
          <w:sz w:val="24"/>
          <w:szCs w:val="24"/>
          <w:lang w:eastAsia="es-CO"/>
        </w:rPr>
        <w:t>“ARTÍCULO 9.</w:t>
      </w:r>
      <w:r w:rsidRPr="00937BF7">
        <w:rPr>
          <w:rFonts w:ascii="Arial" w:hAnsi="Arial" w:cs="Arial"/>
          <w:i/>
          <w:iCs/>
          <w:color w:val="000000" w:themeColor="text1"/>
          <w:sz w:val="24"/>
          <w:szCs w:val="24"/>
          <w:lang w:eastAsia="es-CO"/>
        </w:rPr>
        <w:t> </w:t>
      </w:r>
      <w:r w:rsidRPr="00937BF7">
        <w:rPr>
          <w:rFonts w:ascii="Arial" w:hAnsi="Arial" w:cs="Arial"/>
          <w:b/>
          <w:bCs/>
          <w:i/>
          <w:iCs/>
          <w:color w:val="000000" w:themeColor="text1"/>
          <w:sz w:val="24"/>
          <w:szCs w:val="24"/>
          <w:lang w:eastAsia="es-CO"/>
        </w:rPr>
        <w:t>Instrumentos municipales y distritales.</w:t>
      </w:r>
      <w:r w:rsidRPr="00937BF7">
        <w:rPr>
          <w:rFonts w:ascii="Arial" w:hAnsi="Arial" w:cs="Arial"/>
          <w:i/>
          <w:iCs/>
          <w:color w:val="000000" w:themeColor="text1"/>
          <w:sz w:val="24"/>
          <w:szCs w:val="24"/>
          <w:lang w:eastAsia="es-CO"/>
        </w:rPr>
        <w:t xml:space="preserve"> Las autoridades municipales y </w:t>
      </w:r>
      <w:r w:rsidRPr="00937BF7">
        <w:rPr>
          <w:rFonts w:ascii="Arial" w:hAnsi="Arial" w:cs="Arial"/>
          <w:b/>
          <w:bCs/>
          <w:i/>
          <w:iCs/>
          <w:color w:val="000000" w:themeColor="text1"/>
          <w:sz w:val="24"/>
          <w:szCs w:val="24"/>
          <w:lang w:eastAsia="es-CO"/>
        </w:rPr>
        <w:t xml:space="preserve">distritales </w:t>
      </w:r>
      <w:r w:rsidRPr="00937BF7">
        <w:rPr>
          <w:rFonts w:ascii="Arial" w:hAnsi="Arial" w:cs="Arial"/>
          <w:i/>
          <w:iCs/>
          <w:color w:val="000000" w:themeColor="text1"/>
          <w:sz w:val="24"/>
          <w:szCs w:val="24"/>
          <w:lang w:eastAsia="es-CO"/>
        </w:rPr>
        <w:t>deberán incorporar dentro de sus planes de desarrollo y, planes de ordenamiento territorial, la gestión del cambio climático teniendo corno referencia los Planes Integrales de Gestión del Cambio Climático Territoriales: de su departamento y los Planes Integrales de Gestión del Cambio Climático Sectoriales. Asimismo, podrán incorporar la gestión del cambio climático en otros instrumentos de planeación con que cuente la respectiva entidad territorial.”</w:t>
      </w:r>
    </w:p>
    <w:p w14:paraId="32B27491" w14:textId="77777777" w:rsidR="00933BF2" w:rsidRDefault="00933BF2"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p>
    <w:p w14:paraId="3366663F" w14:textId="5951166F" w:rsidR="00933BF2" w:rsidRPr="00933BF2" w:rsidRDefault="00933BF2" w:rsidP="00341B2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Pr>
          <w:rFonts w:ascii="Arial" w:hAnsi="Arial" w:cs="Arial"/>
          <w:b/>
          <w:bCs/>
          <w:i/>
          <w:iCs/>
          <w:color w:val="000000" w:themeColor="text1"/>
          <w:sz w:val="24"/>
          <w:szCs w:val="24"/>
          <w:lang w:eastAsia="es-CO"/>
        </w:rPr>
        <w:t>“</w:t>
      </w:r>
      <w:r w:rsidRPr="00933BF2">
        <w:rPr>
          <w:rFonts w:ascii="Arial" w:hAnsi="Arial" w:cs="Arial"/>
          <w:b/>
          <w:bCs/>
          <w:i/>
          <w:iCs/>
          <w:color w:val="000000" w:themeColor="text1"/>
          <w:sz w:val="24"/>
          <w:szCs w:val="24"/>
          <w:lang w:eastAsia="es-CO"/>
        </w:rPr>
        <w:t>PARÁGRAFO 1.</w:t>
      </w:r>
      <w:r w:rsidRPr="00933BF2">
        <w:rPr>
          <w:rFonts w:ascii="Arial" w:hAnsi="Arial" w:cs="Arial"/>
          <w:i/>
          <w:iCs/>
          <w:color w:val="000000" w:themeColor="text1"/>
          <w:sz w:val="24"/>
          <w:szCs w:val="24"/>
          <w:lang w:eastAsia="es-CO"/>
        </w:rPr>
        <w:t> </w:t>
      </w:r>
      <w:r w:rsidRPr="00937BF7">
        <w:rPr>
          <w:rFonts w:ascii="Arial" w:hAnsi="Arial" w:cs="Arial"/>
          <w:i/>
          <w:iCs/>
          <w:color w:val="000000" w:themeColor="text1"/>
          <w:sz w:val="24"/>
          <w:szCs w:val="24"/>
          <w:lang w:eastAsia="es-CO"/>
        </w:rPr>
        <w:t>Los Municipios y</w:t>
      </w:r>
      <w:r w:rsidRPr="00937BF7">
        <w:rPr>
          <w:rFonts w:ascii="Arial" w:hAnsi="Arial" w:cs="Arial"/>
          <w:b/>
          <w:bCs/>
          <w:i/>
          <w:iCs/>
          <w:color w:val="000000" w:themeColor="text1"/>
          <w:sz w:val="24"/>
          <w:szCs w:val="24"/>
          <w:lang w:eastAsia="es-CO"/>
        </w:rPr>
        <w:t xml:space="preserve"> Distritos implementarán medidas de mitigación de Gases de Efecto Invernadero en materia de transporte e infraestructura, desarrollo agropecuario, energía, vivienda y saneamiento</w:t>
      </w:r>
      <w:r w:rsidRPr="00933BF2">
        <w:rPr>
          <w:rFonts w:ascii="Arial" w:hAnsi="Arial" w:cs="Arial"/>
          <w:i/>
          <w:iCs/>
          <w:color w:val="000000" w:themeColor="text1"/>
          <w:sz w:val="24"/>
          <w:szCs w:val="24"/>
          <w:lang w:eastAsia="es-CO"/>
        </w:rPr>
        <w:t>, así como en comercio, industria y turismo, todo ello de acuerdo a sus competencias y según los lineamientos definidos por los respectivos PIGCCT.</w:t>
      </w:r>
      <w:r>
        <w:rPr>
          <w:rFonts w:ascii="Arial" w:hAnsi="Arial" w:cs="Arial"/>
          <w:i/>
          <w:iCs/>
          <w:color w:val="000000" w:themeColor="text1"/>
          <w:sz w:val="24"/>
          <w:szCs w:val="24"/>
          <w:lang w:eastAsia="es-CO"/>
        </w:rPr>
        <w:t>”</w:t>
      </w:r>
    </w:p>
    <w:p w14:paraId="4D459F06" w14:textId="77777777" w:rsidR="00933BF2" w:rsidRDefault="00933BF2"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p>
    <w:p w14:paraId="79FAE440" w14:textId="23D987B9" w:rsidR="0065044E" w:rsidRDefault="00377DFB"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r>
        <w:rPr>
          <w:rFonts w:ascii="Arial" w:hAnsi="Arial" w:cs="Arial"/>
          <w:color w:val="000000" w:themeColor="text1"/>
          <w:sz w:val="24"/>
          <w:szCs w:val="24"/>
          <w:lang w:eastAsia="es-CO"/>
        </w:rPr>
        <w:t xml:space="preserve">(…) </w:t>
      </w:r>
    </w:p>
    <w:p w14:paraId="74FD3093" w14:textId="77777777" w:rsidR="00377DFB" w:rsidRDefault="00377DFB"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p>
    <w:p w14:paraId="4C8612B6" w14:textId="43FBD977" w:rsidR="0065044E" w:rsidRPr="00377DFB" w:rsidRDefault="00377DFB" w:rsidP="0065044E">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Pr>
          <w:rFonts w:ascii="Arial" w:hAnsi="Arial" w:cs="Arial"/>
          <w:b/>
          <w:bCs/>
          <w:i/>
          <w:iCs/>
          <w:color w:val="000000" w:themeColor="text1"/>
          <w:sz w:val="24"/>
          <w:szCs w:val="24"/>
          <w:lang w:eastAsia="es-CO"/>
        </w:rPr>
        <w:t>“</w:t>
      </w:r>
      <w:r w:rsidR="0065044E" w:rsidRPr="0065044E">
        <w:rPr>
          <w:rFonts w:ascii="Arial" w:hAnsi="Arial" w:cs="Arial"/>
          <w:b/>
          <w:bCs/>
          <w:i/>
          <w:iCs/>
          <w:color w:val="000000" w:themeColor="text1"/>
          <w:sz w:val="24"/>
          <w:szCs w:val="24"/>
          <w:lang w:eastAsia="es-CO"/>
        </w:rPr>
        <w:t>ARTICULO 12.</w:t>
      </w:r>
      <w:r w:rsidR="0065044E" w:rsidRPr="0065044E">
        <w:rPr>
          <w:rFonts w:ascii="Arial" w:hAnsi="Arial" w:cs="Arial"/>
          <w:i/>
          <w:iCs/>
          <w:color w:val="000000" w:themeColor="text1"/>
          <w:sz w:val="24"/>
          <w:szCs w:val="24"/>
          <w:lang w:eastAsia="es-CO"/>
        </w:rPr>
        <w:t> </w:t>
      </w:r>
      <w:r w:rsidR="0065044E" w:rsidRPr="0065044E">
        <w:rPr>
          <w:rFonts w:ascii="Arial" w:hAnsi="Arial" w:cs="Arial"/>
          <w:b/>
          <w:bCs/>
          <w:i/>
          <w:iCs/>
          <w:color w:val="000000" w:themeColor="text1"/>
          <w:sz w:val="24"/>
          <w:szCs w:val="24"/>
          <w:lang w:eastAsia="es-CO"/>
        </w:rPr>
        <w:t>Energías renovables y mitigación de gases de efecto invernadero.</w:t>
      </w:r>
      <w:r w:rsidR="0065044E" w:rsidRPr="0065044E">
        <w:rPr>
          <w:rFonts w:ascii="Arial" w:hAnsi="Arial" w:cs="Arial"/>
          <w:i/>
          <w:iCs/>
          <w:color w:val="000000" w:themeColor="text1"/>
          <w:sz w:val="24"/>
          <w:szCs w:val="24"/>
          <w:lang w:eastAsia="es-CO"/>
        </w:rPr>
        <w:t> La Nación, los departamentos, distritos y municipios tendrán en cuenta en la formulación de sus planes de desarrollo nacional, departamentales, distritales y municipales las disposiciones para la promoción de las fuentes no convencionales de energía renovable y de eficiencia energética, incluidas en la ley 1715 de 2014 como una de las herramientas para la mitigación de gases de efecto invernadero en la gestión del cambio climático.</w:t>
      </w:r>
    </w:p>
    <w:p w14:paraId="468212BD" w14:textId="77777777" w:rsidR="0065044E" w:rsidRPr="0065044E" w:rsidRDefault="0065044E" w:rsidP="0065044E">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p>
    <w:p w14:paraId="4E88B066" w14:textId="10743AA5" w:rsidR="0065044E" w:rsidRPr="0065044E" w:rsidRDefault="0065044E" w:rsidP="0065044E">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65044E">
        <w:rPr>
          <w:rFonts w:ascii="Arial" w:hAnsi="Arial" w:cs="Arial"/>
          <w:b/>
          <w:bCs/>
          <w:i/>
          <w:iCs/>
          <w:color w:val="000000" w:themeColor="text1"/>
          <w:sz w:val="24"/>
          <w:szCs w:val="24"/>
          <w:lang w:eastAsia="es-CO"/>
        </w:rPr>
        <w:t>ARTÍCULO 13.</w:t>
      </w:r>
      <w:r w:rsidRPr="0065044E">
        <w:rPr>
          <w:rFonts w:ascii="Arial" w:hAnsi="Arial" w:cs="Arial"/>
          <w:i/>
          <w:iCs/>
          <w:color w:val="000000" w:themeColor="text1"/>
          <w:sz w:val="24"/>
          <w:szCs w:val="24"/>
          <w:lang w:eastAsia="es-CO"/>
        </w:rPr>
        <w:t> </w:t>
      </w:r>
      <w:r w:rsidRPr="0065044E">
        <w:rPr>
          <w:rFonts w:ascii="Arial" w:hAnsi="Arial" w:cs="Arial"/>
          <w:b/>
          <w:bCs/>
          <w:i/>
          <w:iCs/>
          <w:color w:val="000000" w:themeColor="text1"/>
          <w:sz w:val="24"/>
          <w:szCs w:val="24"/>
          <w:lang w:eastAsia="es-CO"/>
        </w:rPr>
        <w:t>Incorporación de cambio climático en instrumentos de planificación.</w:t>
      </w:r>
      <w:r w:rsidRPr="0065044E">
        <w:rPr>
          <w:rFonts w:ascii="Arial" w:hAnsi="Arial" w:cs="Arial"/>
          <w:i/>
          <w:iCs/>
          <w:color w:val="000000" w:themeColor="text1"/>
          <w:sz w:val="24"/>
          <w:szCs w:val="24"/>
          <w:lang w:eastAsia="es-CO"/>
        </w:rPr>
        <w:t> La gestión del cambio climático en los instrumentos de que trata el presente capítulo, deberá incorporarse en aquellos que sean elaborados, adoptados, revisados y actualizados según corresponda, a partir del 1 de enero de 2020.</w:t>
      </w:r>
      <w:r w:rsidR="00377DFB">
        <w:rPr>
          <w:rFonts w:ascii="Arial" w:hAnsi="Arial" w:cs="Arial"/>
          <w:i/>
          <w:iCs/>
          <w:color w:val="000000" w:themeColor="text1"/>
          <w:sz w:val="24"/>
          <w:szCs w:val="24"/>
          <w:lang w:eastAsia="es-CO"/>
        </w:rPr>
        <w:t xml:space="preserve">” </w:t>
      </w:r>
    </w:p>
    <w:p w14:paraId="3B84FC94" w14:textId="0F024707" w:rsidR="0065044E" w:rsidRDefault="0065044E" w:rsidP="00341B2C">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p>
    <w:p w14:paraId="3A546325" w14:textId="77777777" w:rsidR="005F72B4" w:rsidRPr="00F25895" w:rsidRDefault="00204553" w:rsidP="005F72B4">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r w:rsidRPr="00F25895">
        <w:rPr>
          <w:rFonts w:ascii="Arial" w:hAnsi="Arial" w:cs="Arial"/>
          <w:color w:val="000000" w:themeColor="text1"/>
          <w:sz w:val="24"/>
          <w:szCs w:val="24"/>
          <w:lang w:eastAsia="es-CO"/>
        </w:rPr>
        <w:t>L</w:t>
      </w:r>
      <w:r w:rsidR="00626ACF">
        <w:rPr>
          <w:rFonts w:ascii="Arial" w:hAnsi="Arial" w:cs="Arial"/>
          <w:color w:val="000000" w:themeColor="text1"/>
          <w:sz w:val="24"/>
          <w:szCs w:val="24"/>
          <w:lang w:eastAsia="es-CO"/>
        </w:rPr>
        <w:t>ey</w:t>
      </w:r>
      <w:r w:rsidRPr="00F25895">
        <w:rPr>
          <w:rFonts w:ascii="Arial" w:hAnsi="Arial" w:cs="Arial"/>
          <w:color w:val="000000" w:themeColor="text1"/>
          <w:sz w:val="24"/>
          <w:szCs w:val="24"/>
          <w:lang w:eastAsia="es-CO"/>
        </w:rPr>
        <w:t xml:space="preserve"> 2099 </w:t>
      </w:r>
      <w:r w:rsidR="00626ACF">
        <w:rPr>
          <w:rFonts w:ascii="Arial" w:hAnsi="Arial" w:cs="Arial"/>
          <w:color w:val="000000" w:themeColor="text1"/>
          <w:sz w:val="24"/>
          <w:szCs w:val="24"/>
          <w:lang w:eastAsia="es-CO"/>
        </w:rPr>
        <w:t>de</w:t>
      </w:r>
      <w:r w:rsidRPr="00F25895">
        <w:rPr>
          <w:rFonts w:ascii="Arial" w:hAnsi="Arial" w:cs="Arial"/>
          <w:color w:val="000000" w:themeColor="text1"/>
          <w:sz w:val="24"/>
          <w:szCs w:val="24"/>
          <w:lang w:eastAsia="es-CO"/>
        </w:rPr>
        <w:t xml:space="preserve"> 2021</w:t>
      </w:r>
      <w:r w:rsidR="00016F4A" w:rsidRPr="00F25895">
        <w:rPr>
          <w:rFonts w:ascii="Arial" w:hAnsi="Arial" w:cs="Arial"/>
          <w:color w:val="000000" w:themeColor="text1"/>
          <w:sz w:val="24"/>
          <w:szCs w:val="24"/>
          <w:lang w:eastAsia="es-CO"/>
        </w:rPr>
        <w:t xml:space="preserve"> </w:t>
      </w:r>
      <w:r w:rsidR="00341B2C" w:rsidRPr="00F25895">
        <w:rPr>
          <w:rFonts w:ascii="Arial" w:hAnsi="Arial" w:cs="Arial"/>
          <w:color w:val="000000" w:themeColor="text1"/>
          <w:sz w:val="24"/>
          <w:szCs w:val="24"/>
          <w:lang w:eastAsia="es-CO"/>
        </w:rPr>
        <w:t>–</w:t>
      </w:r>
      <w:r w:rsidR="00016F4A" w:rsidRPr="00F25895">
        <w:rPr>
          <w:rFonts w:ascii="Arial" w:hAnsi="Arial" w:cs="Arial"/>
          <w:color w:val="000000" w:themeColor="text1"/>
          <w:sz w:val="24"/>
          <w:szCs w:val="24"/>
          <w:lang w:eastAsia="es-CO"/>
        </w:rPr>
        <w:t xml:space="preserve"> </w:t>
      </w:r>
      <w:r w:rsidR="005F72B4" w:rsidRPr="00F25895">
        <w:rPr>
          <w:rFonts w:ascii="Arial" w:hAnsi="Arial" w:cs="Arial"/>
          <w:color w:val="000000" w:themeColor="text1"/>
          <w:sz w:val="24"/>
          <w:szCs w:val="24"/>
          <w:lang w:eastAsia="es-CO"/>
        </w:rPr>
        <w:t>“</w:t>
      </w:r>
      <w:r w:rsidR="005F72B4">
        <w:rPr>
          <w:rFonts w:ascii="Arial" w:hAnsi="Arial" w:cs="Arial"/>
          <w:i/>
          <w:iCs/>
          <w:color w:val="000000" w:themeColor="text1"/>
          <w:sz w:val="24"/>
          <w:szCs w:val="24"/>
          <w:lang w:eastAsia="es-CO"/>
        </w:rPr>
        <w:t>P</w:t>
      </w:r>
      <w:r w:rsidR="005F72B4" w:rsidRPr="00F25895">
        <w:rPr>
          <w:rFonts w:ascii="Arial" w:hAnsi="Arial" w:cs="Arial"/>
          <w:i/>
          <w:iCs/>
          <w:color w:val="000000" w:themeColor="text1"/>
          <w:sz w:val="24"/>
          <w:szCs w:val="24"/>
          <w:lang w:eastAsia="es-CO"/>
        </w:rPr>
        <w:t xml:space="preserve">or medio de la cual se dictan disposiciones para la </w:t>
      </w:r>
      <w:r w:rsidR="005F72B4" w:rsidRPr="00F25895">
        <w:rPr>
          <w:rFonts w:ascii="Arial" w:hAnsi="Arial" w:cs="Arial"/>
          <w:b/>
          <w:bCs/>
          <w:i/>
          <w:iCs/>
          <w:color w:val="000000" w:themeColor="text1"/>
          <w:sz w:val="24"/>
          <w:szCs w:val="24"/>
          <w:lang w:eastAsia="es-CO"/>
        </w:rPr>
        <w:t>transición energética</w:t>
      </w:r>
      <w:r w:rsidR="005F72B4" w:rsidRPr="00F25895">
        <w:rPr>
          <w:rFonts w:ascii="Arial" w:hAnsi="Arial" w:cs="Arial"/>
          <w:i/>
          <w:iCs/>
          <w:color w:val="000000" w:themeColor="text1"/>
          <w:sz w:val="24"/>
          <w:szCs w:val="24"/>
          <w:lang w:eastAsia="es-CO"/>
        </w:rPr>
        <w:t>, la dinamización del mercado energético, la reactivación económica del país y se dictan otras disposiciones</w:t>
      </w:r>
      <w:r w:rsidR="005F72B4" w:rsidRPr="00F25895">
        <w:rPr>
          <w:rFonts w:ascii="Arial" w:hAnsi="Arial" w:cs="Arial"/>
          <w:color w:val="000000" w:themeColor="text1"/>
          <w:sz w:val="24"/>
          <w:szCs w:val="24"/>
          <w:lang w:eastAsia="es-CO"/>
        </w:rPr>
        <w:t>.</w:t>
      </w:r>
    </w:p>
    <w:p w14:paraId="2CFDFE2D" w14:textId="77777777" w:rsidR="00204553" w:rsidRPr="00F25895" w:rsidRDefault="00204553"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2A5F5186" w14:textId="67FD57E0" w:rsidR="00016F4A" w:rsidRDefault="00341B2C" w:rsidP="00341B2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F25895">
        <w:rPr>
          <w:rFonts w:ascii="Arial" w:hAnsi="Arial" w:cs="Arial"/>
          <w:i/>
          <w:iCs/>
          <w:color w:val="000000" w:themeColor="text1"/>
          <w:sz w:val="24"/>
          <w:szCs w:val="24"/>
          <w:lang w:eastAsia="es-CO"/>
        </w:rPr>
        <w:t>“</w:t>
      </w:r>
      <w:r w:rsidR="00016F4A" w:rsidRPr="00F25895">
        <w:rPr>
          <w:rFonts w:ascii="Arial" w:hAnsi="Arial" w:cs="Arial"/>
          <w:i/>
          <w:iCs/>
          <w:color w:val="000000" w:themeColor="text1"/>
          <w:sz w:val="24"/>
          <w:szCs w:val="24"/>
          <w:lang w:eastAsia="es-CO"/>
        </w:rPr>
        <w:t xml:space="preserve">ARTÍCULO 1. Objeto. </w:t>
      </w:r>
      <w:r w:rsidRPr="00F25895">
        <w:rPr>
          <w:rFonts w:ascii="Arial" w:hAnsi="Arial" w:cs="Arial"/>
          <w:i/>
          <w:iCs/>
          <w:color w:val="000000" w:themeColor="text1"/>
          <w:sz w:val="24"/>
          <w:szCs w:val="24"/>
          <w:lang w:eastAsia="es-CO"/>
        </w:rPr>
        <w:t xml:space="preserve">(…) </w:t>
      </w:r>
      <w:r w:rsidR="00016F4A" w:rsidRPr="00F25895">
        <w:rPr>
          <w:rFonts w:ascii="Arial" w:hAnsi="Arial" w:cs="Arial"/>
          <w:i/>
          <w:iCs/>
          <w:color w:val="000000" w:themeColor="text1"/>
          <w:sz w:val="24"/>
          <w:szCs w:val="24"/>
          <w:lang w:eastAsia="es-CO"/>
        </w:rPr>
        <w:t xml:space="preserve">tiene por objeto </w:t>
      </w:r>
      <w:r w:rsidR="00016F4A" w:rsidRPr="00F25895">
        <w:rPr>
          <w:rFonts w:ascii="Arial" w:hAnsi="Arial" w:cs="Arial"/>
          <w:b/>
          <w:bCs/>
          <w:i/>
          <w:iCs/>
          <w:color w:val="000000" w:themeColor="text1"/>
          <w:sz w:val="24"/>
          <w:szCs w:val="24"/>
          <w:lang w:eastAsia="es-CO"/>
        </w:rPr>
        <w:t>modernizar la legislación vigente y dictar otras disposiciones para la transición energética</w:t>
      </w:r>
      <w:r w:rsidR="00016F4A" w:rsidRPr="00F25895">
        <w:rPr>
          <w:rFonts w:ascii="Arial" w:hAnsi="Arial" w:cs="Arial"/>
          <w:i/>
          <w:iCs/>
          <w:color w:val="000000" w:themeColor="text1"/>
          <w:sz w:val="24"/>
          <w:szCs w:val="24"/>
          <w:lang w:eastAsia="es-CO"/>
        </w:rPr>
        <w:t xml:space="preserve">, la dinamización del </w:t>
      </w:r>
      <w:r w:rsidR="00016F4A" w:rsidRPr="00F25895">
        <w:rPr>
          <w:rFonts w:ascii="Arial" w:hAnsi="Arial" w:cs="Arial"/>
          <w:i/>
          <w:iCs/>
          <w:color w:val="000000" w:themeColor="text1"/>
          <w:sz w:val="24"/>
          <w:szCs w:val="24"/>
          <w:lang w:eastAsia="es-CO"/>
        </w:rPr>
        <w:lastRenderedPageBreak/>
        <w:t>mercado energético a través de la utilización, desarrollo y promoción de fuentes no convencionales de energía, la reactivación económica del país y, en general dictar normas para el fortalecimiento de los servicios públicos de energía eléctrica y gas combustible.</w:t>
      </w:r>
      <w:r w:rsidRPr="00F25895">
        <w:rPr>
          <w:rFonts w:ascii="Arial" w:hAnsi="Arial" w:cs="Arial"/>
          <w:i/>
          <w:iCs/>
          <w:color w:val="000000" w:themeColor="text1"/>
          <w:sz w:val="24"/>
          <w:szCs w:val="24"/>
          <w:lang w:eastAsia="es-CO"/>
        </w:rPr>
        <w:t>”</w:t>
      </w:r>
    </w:p>
    <w:p w14:paraId="5B6F167C" w14:textId="0A30AAA5" w:rsidR="005E042A" w:rsidRDefault="005E042A"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1128136B" w14:textId="6A43743C" w:rsidR="007F1528" w:rsidRPr="007F1528" w:rsidRDefault="007F1528" w:rsidP="007F1528">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r w:rsidRPr="007F1528">
        <w:rPr>
          <w:rFonts w:ascii="Arial" w:hAnsi="Arial" w:cs="Arial"/>
          <w:color w:val="000000" w:themeColor="text1"/>
          <w:sz w:val="24"/>
          <w:szCs w:val="24"/>
          <w:lang w:eastAsia="es-CO"/>
        </w:rPr>
        <w:t>L</w:t>
      </w:r>
      <w:r w:rsidR="005F72B4">
        <w:rPr>
          <w:rFonts w:ascii="Arial" w:hAnsi="Arial" w:cs="Arial"/>
          <w:color w:val="000000" w:themeColor="text1"/>
          <w:sz w:val="24"/>
          <w:szCs w:val="24"/>
          <w:lang w:eastAsia="es-CO"/>
        </w:rPr>
        <w:t>ey</w:t>
      </w:r>
      <w:r w:rsidRPr="007F1528">
        <w:rPr>
          <w:rFonts w:ascii="Arial" w:hAnsi="Arial" w:cs="Arial"/>
          <w:color w:val="000000" w:themeColor="text1"/>
          <w:sz w:val="24"/>
          <w:szCs w:val="24"/>
          <w:lang w:eastAsia="es-CO"/>
        </w:rPr>
        <w:t xml:space="preserve"> 2169 </w:t>
      </w:r>
      <w:r w:rsidR="005F72B4">
        <w:rPr>
          <w:rFonts w:ascii="Arial" w:hAnsi="Arial" w:cs="Arial"/>
          <w:color w:val="000000" w:themeColor="text1"/>
          <w:sz w:val="24"/>
          <w:szCs w:val="24"/>
          <w:lang w:eastAsia="es-CO"/>
        </w:rPr>
        <w:t xml:space="preserve">de </w:t>
      </w:r>
      <w:r w:rsidRPr="007F1528">
        <w:rPr>
          <w:rFonts w:ascii="Arial" w:hAnsi="Arial" w:cs="Arial"/>
          <w:color w:val="000000" w:themeColor="text1"/>
          <w:sz w:val="24"/>
          <w:szCs w:val="24"/>
          <w:lang w:eastAsia="es-CO"/>
        </w:rPr>
        <w:t>2021 “</w:t>
      </w:r>
      <w:r w:rsidRPr="007F1528">
        <w:rPr>
          <w:rFonts w:ascii="Arial" w:hAnsi="Arial" w:cs="Arial"/>
          <w:i/>
          <w:iCs/>
          <w:color w:val="000000" w:themeColor="text1"/>
          <w:sz w:val="24"/>
          <w:szCs w:val="24"/>
          <w:lang w:eastAsia="es-CO"/>
        </w:rPr>
        <w:t xml:space="preserve">Por medio de la cual se impulsa el desarrollo bajo en carbono del país mediante el establecimiento de metas y medidas mínimas en materia de carbono neutralidad y resiliencia climática y se dictan otras disposiciones” </w:t>
      </w:r>
    </w:p>
    <w:p w14:paraId="6D6FB759" w14:textId="77777777" w:rsidR="0056041C" w:rsidRDefault="0056041C"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1803127F" w14:textId="12EB605A" w:rsidR="0056041C" w:rsidRPr="0056041C" w:rsidRDefault="007F1528"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F72B4">
        <w:rPr>
          <w:rFonts w:ascii="Arial" w:hAnsi="Arial" w:cs="Arial"/>
          <w:i/>
          <w:iCs/>
          <w:color w:val="000000" w:themeColor="text1"/>
          <w:sz w:val="24"/>
          <w:szCs w:val="24"/>
          <w:lang w:eastAsia="es-CO"/>
        </w:rPr>
        <w:t>“</w:t>
      </w:r>
      <w:r w:rsidR="0056041C" w:rsidRPr="0056041C">
        <w:rPr>
          <w:rFonts w:ascii="Arial" w:hAnsi="Arial" w:cs="Arial"/>
          <w:b/>
          <w:bCs/>
          <w:i/>
          <w:iCs/>
          <w:color w:val="000000" w:themeColor="text1"/>
          <w:sz w:val="24"/>
          <w:szCs w:val="24"/>
          <w:lang w:eastAsia="es-CO"/>
        </w:rPr>
        <w:t>Artículo</w:t>
      </w:r>
      <w:r w:rsidR="0056041C" w:rsidRPr="0056041C">
        <w:rPr>
          <w:rFonts w:ascii="Arial" w:hAnsi="Arial" w:cs="Arial"/>
          <w:i/>
          <w:iCs/>
          <w:color w:val="000000" w:themeColor="text1"/>
          <w:sz w:val="24"/>
          <w:szCs w:val="24"/>
          <w:lang w:eastAsia="es-CO"/>
        </w:rPr>
        <w:t> </w:t>
      </w:r>
      <w:r w:rsidR="0056041C" w:rsidRPr="0056041C">
        <w:rPr>
          <w:rFonts w:ascii="Arial" w:hAnsi="Arial" w:cs="Arial"/>
          <w:b/>
          <w:bCs/>
          <w:i/>
          <w:iCs/>
          <w:color w:val="000000" w:themeColor="text1"/>
          <w:sz w:val="24"/>
          <w:szCs w:val="24"/>
          <w:lang w:eastAsia="es-CO"/>
        </w:rPr>
        <w:t>12</w:t>
      </w:r>
      <w:r w:rsidR="0056041C" w:rsidRPr="0056041C">
        <w:rPr>
          <w:rFonts w:ascii="Arial" w:hAnsi="Arial" w:cs="Arial"/>
          <w:i/>
          <w:iCs/>
          <w:color w:val="000000" w:themeColor="text1"/>
          <w:sz w:val="24"/>
          <w:szCs w:val="24"/>
          <w:lang w:eastAsia="es-CO"/>
        </w:rPr>
        <w:t>. </w:t>
      </w:r>
      <w:r w:rsidR="0056041C" w:rsidRPr="0056041C">
        <w:rPr>
          <w:rFonts w:ascii="Arial" w:hAnsi="Arial" w:cs="Arial"/>
          <w:b/>
          <w:bCs/>
          <w:i/>
          <w:iCs/>
          <w:color w:val="000000" w:themeColor="text1"/>
          <w:sz w:val="24"/>
          <w:szCs w:val="24"/>
          <w:lang w:eastAsia="es-CO"/>
        </w:rPr>
        <w:t>Medidas del Sector Transporte</w:t>
      </w:r>
      <w:r w:rsidR="0056041C" w:rsidRPr="0056041C">
        <w:rPr>
          <w:rFonts w:ascii="Arial" w:hAnsi="Arial" w:cs="Arial"/>
          <w:i/>
          <w:iCs/>
          <w:color w:val="000000" w:themeColor="text1"/>
          <w:sz w:val="24"/>
          <w:szCs w:val="24"/>
          <w:lang w:eastAsia="es-CO"/>
        </w:rPr>
        <w:t>. El Ministerio de Transporte, en coordinación con las entidades que se indican en los numerales siguientes, y demás entidades nacionales y territoriales competentes, deberá incorporar en los instrumentos sectoriales de planificación existentes y futuros, acciones orientadas a alcanzar las metas país en materia de mitigación, así como a garantizar las condiciones habilitantes para la implementación y avance en la consolidación de las siguientes medidas mínimas:</w:t>
      </w:r>
    </w:p>
    <w:p w14:paraId="48E944B7"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 </w:t>
      </w:r>
    </w:p>
    <w:p w14:paraId="37FDEB42"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1. Acciones que permitan acelerar la transición hacia la movilidad eléctrica, diseñando e implementando políticas con el fin de establecer estándares regulatorios y técnicos para la comercialización y operación de vehículos eléctricos de 2, 3 y 4 o más ruedas, así como la promoción de instrumentos financieros que incentiven el ingreso de vehículos eléctricos.</w:t>
      </w:r>
    </w:p>
    <w:p w14:paraId="23372775"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 </w:t>
      </w:r>
    </w:p>
    <w:p w14:paraId="15F17D3C"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2. Acciones que permitan avanzar hacia la paridad de precios entre las tecnologías de vehículos eléctricos y vehículos convencionales con el fin de incentivar una mayor demanda de vehículos eléctricos en el mercado.</w:t>
      </w:r>
    </w:p>
    <w:p w14:paraId="6C5E3671"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 </w:t>
      </w:r>
    </w:p>
    <w:p w14:paraId="755B9079"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3. Acciones que permitan la concurrencia entre el Gobierno nacional y los entes territoriales para Incentivar la transición hacia la tecnología eléctrica en los sistemas de transporte público.</w:t>
      </w:r>
    </w:p>
    <w:p w14:paraId="54C262DF" w14:textId="7777777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 </w:t>
      </w:r>
    </w:p>
    <w:p w14:paraId="4057FB06" w14:textId="1CD944A7" w:rsidR="0056041C" w:rsidRPr="0056041C" w:rsidRDefault="0056041C" w:rsidP="0056041C">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sidRPr="0056041C">
        <w:rPr>
          <w:rFonts w:ascii="Arial" w:hAnsi="Arial" w:cs="Arial"/>
          <w:i/>
          <w:iCs/>
          <w:color w:val="000000" w:themeColor="text1"/>
          <w:sz w:val="24"/>
          <w:szCs w:val="24"/>
          <w:lang w:eastAsia="es-CO"/>
        </w:rPr>
        <w:t>4. Desarrollo de instrumentos financieros que generen condiciones habilitantes para la circulación de al menos 600.000 vehículos eléctricos en el país a 2030. Estas acciones se desarrollarán en coordinación con el Ministerio de Minas y Energía, el Ministerio de Ambiente y Desarrollo Sostenible y el Departamento Nacional de Planeación.</w:t>
      </w:r>
      <w:r w:rsidR="007F1528" w:rsidRPr="005F72B4">
        <w:rPr>
          <w:rFonts w:ascii="Arial" w:hAnsi="Arial" w:cs="Arial"/>
          <w:i/>
          <w:iCs/>
          <w:color w:val="000000" w:themeColor="text1"/>
          <w:sz w:val="24"/>
          <w:szCs w:val="24"/>
          <w:lang w:eastAsia="es-CO"/>
        </w:rPr>
        <w:t>”</w:t>
      </w:r>
    </w:p>
    <w:p w14:paraId="61E9BDC2" w14:textId="77777777" w:rsidR="0056041C" w:rsidRDefault="0056041C"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2E6B91BD" w14:textId="75C46133" w:rsidR="009D35FA" w:rsidRDefault="006553D0"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r w:rsidRPr="006553D0">
        <w:rPr>
          <w:rFonts w:ascii="Arial" w:hAnsi="Arial" w:cs="Arial"/>
          <w:color w:val="000000" w:themeColor="text1"/>
          <w:sz w:val="24"/>
          <w:szCs w:val="24"/>
          <w:lang w:eastAsia="es-CO"/>
        </w:rPr>
        <w:t>Ley 2294 del 19 de mayo de 2023</w:t>
      </w:r>
      <w:r>
        <w:rPr>
          <w:rFonts w:ascii="Arial" w:hAnsi="Arial" w:cs="Arial"/>
          <w:color w:val="000000" w:themeColor="text1"/>
          <w:sz w:val="24"/>
          <w:szCs w:val="24"/>
          <w:lang w:eastAsia="es-CO"/>
        </w:rPr>
        <w:t xml:space="preserve"> - </w:t>
      </w:r>
      <w:r w:rsidR="009D35FA">
        <w:rPr>
          <w:rFonts w:ascii="Arial" w:hAnsi="Arial" w:cs="Arial"/>
          <w:color w:val="000000" w:themeColor="text1"/>
          <w:sz w:val="24"/>
          <w:szCs w:val="24"/>
          <w:lang w:eastAsia="es-CO"/>
        </w:rPr>
        <w:t xml:space="preserve">Plan de Desarrollo </w:t>
      </w:r>
      <w:r w:rsidR="0049345E">
        <w:rPr>
          <w:rFonts w:ascii="Arial" w:hAnsi="Arial" w:cs="Arial"/>
          <w:color w:val="000000" w:themeColor="text1"/>
          <w:sz w:val="24"/>
          <w:szCs w:val="24"/>
          <w:lang w:eastAsia="es-CO"/>
        </w:rPr>
        <w:t xml:space="preserve">Colombia Potencia Mundial de la Vida </w:t>
      </w:r>
    </w:p>
    <w:p w14:paraId="21361292" w14:textId="77777777" w:rsidR="009D35FA" w:rsidRDefault="009D35FA"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0771A817" w14:textId="73DBD853" w:rsidR="009D35FA" w:rsidRDefault="009D35FA" w:rsidP="009D35FA">
      <w:pPr>
        <w:widowControl w:val="0"/>
        <w:pBdr>
          <w:top w:val="nil"/>
          <w:left w:val="nil"/>
          <w:bottom w:val="nil"/>
          <w:right w:val="nil"/>
          <w:between w:val="nil"/>
        </w:pBdr>
        <w:spacing w:after="0" w:line="240" w:lineRule="auto"/>
        <w:jc w:val="both"/>
        <w:rPr>
          <w:rFonts w:ascii="Arial" w:hAnsi="Arial" w:cs="Arial"/>
          <w:color w:val="000000" w:themeColor="text1"/>
          <w:sz w:val="24"/>
          <w:szCs w:val="24"/>
          <w:lang w:eastAsia="es-CO"/>
        </w:rPr>
      </w:pPr>
      <w:r w:rsidRPr="009D35FA">
        <w:rPr>
          <w:rFonts w:ascii="Arial" w:hAnsi="Arial" w:cs="Arial"/>
          <w:color w:val="000000" w:themeColor="text1"/>
          <w:sz w:val="24"/>
          <w:szCs w:val="24"/>
          <w:lang w:eastAsia="es-CO"/>
        </w:rPr>
        <w:t xml:space="preserve">b. Descarbonización de los sistemas de transporte público cofinanciados Se </w:t>
      </w:r>
      <w:r w:rsidRPr="009D35FA">
        <w:rPr>
          <w:rFonts w:ascii="Arial" w:hAnsi="Arial" w:cs="Arial"/>
          <w:color w:val="000000" w:themeColor="text1"/>
          <w:sz w:val="24"/>
          <w:szCs w:val="24"/>
          <w:lang w:eastAsia="es-CO"/>
        </w:rPr>
        <w:lastRenderedPageBreak/>
        <w:t>impulsarán la descarbonización de la flota y la implementación de infraestructura para el abastecimiento energético requerida en los sistemas de transporte público cofinanciados por la nación, dando prelación a la electrificación de acuerdo con las particularidades de cada territorio. Para ello, se establecerán esquemas de financiación en los que las entidades territoriales se comprometan con el logro de metas de movilidad sostenible, en el marco del fortalecimiento de la Política Nacional para la Cofinanciación de Sistemas de Transporte Público.</w:t>
      </w:r>
    </w:p>
    <w:p w14:paraId="7150F914" w14:textId="77777777" w:rsidR="009D35FA" w:rsidRDefault="009D35FA"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70D9A1D7" w14:textId="4A70719F" w:rsidR="00E8533D" w:rsidRDefault="00A13346"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r>
        <w:rPr>
          <w:rFonts w:ascii="Arial" w:hAnsi="Arial" w:cs="Arial"/>
          <w:color w:val="000000" w:themeColor="text1"/>
          <w:sz w:val="24"/>
          <w:szCs w:val="24"/>
          <w:lang w:eastAsia="es-CO"/>
        </w:rPr>
        <w:t>A</w:t>
      </w:r>
      <w:r w:rsidR="005F72B4">
        <w:rPr>
          <w:rFonts w:ascii="Arial" w:hAnsi="Arial" w:cs="Arial"/>
          <w:color w:val="000000" w:themeColor="text1"/>
          <w:sz w:val="24"/>
          <w:szCs w:val="24"/>
          <w:lang w:eastAsia="es-CO"/>
        </w:rPr>
        <w:t xml:space="preserve">cuerdo </w:t>
      </w:r>
      <w:r>
        <w:rPr>
          <w:rFonts w:ascii="Arial" w:hAnsi="Arial" w:cs="Arial"/>
          <w:color w:val="000000" w:themeColor="text1"/>
          <w:sz w:val="24"/>
          <w:szCs w:val="24"/>
          <w:lang w:eastAsia="es-CO"/>
        </w:rPr>
        <w:t xml:space="preserve">927 de 2024 </w:t>
      </w:r>
      <w:r w:rsidR="005F72B4">
        <w:rPr>
          <w:rFonts w:ascii="Arial" w:hAnsi="Arial" w:cs="Arial"/>
          <w:color w:val="000000" w:themeColor="text1"/>
          <w:sz w:val="24"/>
          <w:szCs w:val="24"/>
          <w:lang w:eastAsia="es-CO"/>
        </w:rPr>
        <w:t xml:space="preserve">- </w:t>
      </w:r>
      <w:r w:rsidR="00E8533D">
        <w:rPr>
          <w:rFonts w:ascii="Arial" w:hAnsi="Arial" w:cs="Arial"/>
          <w:color w:val="000000" w:themeColor="text1"/>
          <w:sz w:val="24"/>
          <w:szCs w:val="24"/>
          <w:lang w:eastAsia="es-CO"/>
        </w:rPr>
        <w:t xml:space="preserve">Plan de Desarrollo </w:t>
      </w:r>
      <w:r w:rsidR="00E8533D" w:rsidRPr="005A642B">
        <w:rPr>
          <w:rFonts w:ascii="Arial" w:hAnsi="Arial" w:cs="Arial"/>
          <w:i/>
          <w:iCs/>
          <w:color w:val="000000" w:themeColor="text1"/>
          <w:sz w:val="24"/>
          <w:szCs w:val="24"/>
          <w:lang w:eastAsia="es-CO"/>
        </w:rPr>
        <w:t>“Bogotá Camina Segura”</w:t>
      </w:r>
      <w:r w:rsidR="00E8533D">
        <w:rPr>
          <w:rFonts w:ascii="Arial" w:hAnsi="Arial" w:cs="Arial"/>
          <w:color w:val="000000" w:themeColor="text1"/>
          <w:sz w:val="24"/>
          <w:szCs w:val="24"/>
          <w:lang w:eastAsia="es-CO"/>
        </w:rPr>
        <w:t xml:space="preserve"> </w:t>
      </w:r>
    </w:p>
    <w:p w14:paraId="20DA4120" w14:textId="77777777" w:rsidR="001F4E77" w:rsidRDefault="001F4E77"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p>
    <w:p w14:paraId="7E437446" w14:textId="3AE06F42" w:rsidR="00DA513D" w:rsidRPr="00F25895" w:rsidRDefault="00C65889" w:rsidP="00621C9B">
      <w:pPr>
        <w:widowControl w:val="0"/>
        <w:pBdr>
          <w:top w:val="nil"/>
          <w:left w:val="nil"/>
          <w:bottom w:val="nil"/>
          <w:right w:val="nil"/>
          <w:between w:val="nil"/>
        </w:pBdr>
        <w:spacing w:after="0" w:line="240" w:lineRule="auto"/>
        <w:rPr>
          <w:rFonts w:ascii="Arial" w:hAnsi="Arial" w:cs="Arial"/>
          <w:color w:val="000000" w:themeColor="text1"/>
          <w:sz w:val="24"/>
          <w:szCs w:val="24"/>
          <w:lang w:eastAsia="es-CO"/>
        </w:rPr>
      </w:pPr>
      <w:r w:rsidRPr="00F25895">
        <w:rPr>
          <w:rFonts w:ascii="Arial" w:hAnsi="Arial" w:cs="Arial"/>
          <w:color w:val="000000" w:themeColor="text1"/>
          <w:sz w:val="24"/>
          <w:szCs w:val="24"/>
          <w:lang w:eastAsia="es-CO"/>
        </w:rPr>
        <w:t>Sobre la viabilidad de cambio de destino de bienes de uso público</w:t>
      </w:r>
      <w:r w:rsidR="00E83FF9" w:rsidRPr="00F25895">
        <w:rPr>
          <w:rFonts w:ascii="Arial" w:hAnsi="Arial" w:cs="Arial"/>
          <w:color w:val="000000" w:themeColor="text1"/>
          <w:sz w:val="24"/>
          <w:szCs w:val="24"/>
          <w:lang w:eastAsia="es-CO"/>
        </w:rPr>
        <w:t xml:space="preserve"> con el fin de construir en ellos electrolineras </w:t>
      </w:r>
      <w:r w:rsidR="00A13346">
        <w:rPr>
          <w:rFonts w:ascii="Arial" w:hAnsi="Arial" w:cs="Arial"/>
          <w:color w:val="000000" w:themeColor="text1"/>
          <w:sz w:val="24"/>
          <w:szCs w:val="24"/>
          <w:lang w:eastAsia="es-CO"/>
        </w:rPr>
        <w:t xml:space="preserve">para servicio público. </w:t>
      </w:r>
    </w:p>
    <w:p w14:paraId="5D8214D4" w14:textId="77777777" w:rsidR="00C65889" w:rsidRPr="00F25895" w:rsidRDefault="00C65889" w:rsidP="00621C9B">
      <w:pPr>
        <w:widowControl w:val="0"/>
        <w:pBdr>
          <w:top w:val="nil"/>
          <w:left w:val="nil"/>
          <w:bottom w:val="nil"/>
          <w:right w:val="nil"/>
          <w:between w:val="nil"/>
        </w:pBdr>
        <w:spacing w:after="0" w:line="240" w:lineRule="auto"/>
        <w:rPr>
          <w:rFonts w:ascii="Arial" w:hAnsi="Arial" w:cs="Arial"/>
          <w:b/>
          <w:bCs/>
          <w:color w:val="000000" w:themeColor="text1"/>
          <w:sz w:val="24"/>
          <w:szCs w:val="24"/>
          <w:lang w:eastAsia="es-CO"/>
        </w:rPr>
      </w:pPr>
    </w:p>
    <w:p w14:paraId="7714C6F2" w14:textId="2CA8ECCE" w:rsidR="00AC4EFC" w:rsidRPr="00F25895" w:rsidRDefault="004136F6" w:rsidP="00E317E8">
      <w:pPr>
        <w:widowControl w:val="0"/>
        <w:pBdr>
          <w:top w:val="nil"/>
          <w:left w:val="nil"/>
          <w:bottom w:val="nil"/>
          <w:right w:val="nil"/>
          <w:between w:val="nil"/>
        </w:pBdr>
        <w:spacing w:after="0" w:line="240" w:lineRule="auto"/>
        <w:jc w:val="both"/>
        <w:rPr>
          <w:rFonts w:ascii="Arial" w:hAnsi="Arial" w:cs="Arial"/>
          <w:i/>
          <w:iCs/>
          <w:color w:val="000000" w:themeColor="text1"/>
          <w:sz w:val="24"/>
          <w:szCs w:val="24"/>
          <w:lang w:eastAsia="es-CO"/>
        </w:rPr>
      </w:pPr>
      <w:r>
        <w:rPr>
          <w:rFonts w:ascii="Arial" w:hAnsi="Arial" w:cs="Arial"/>
          <w:i/>
          <w:iCs/>
          <w:color w:val="000000" w:themeColor="text1"/>
          <w:sz w:val="24"/>
          <w:szCs w:val="24"/>
          <w:lang w:eastAsia="es-CO"/>
        </w:rPr>
        <w:t>“</w:t>
      </w:r>
      <w:r w:rsidR="00AC4EFC" w:rsidRPr="00F25895">
        <w:rPr>
          <w:rFonts w:ascii="Arial" w:hAnsi="Arial" w:cs="Arial"/>
          <w:i/>
          <w:iCs/>
          <w:color w:val="000000" w:themeColor="text1"/>
          <w:sz w:val="24"/>
          <w:szCs w:val="24"/>
          <w:lang w:eastAsia="es-CO"/>
        </w:rPr>
        <w:t>Artículo 133. Destino de bienes de uso público. Modifíquese el inciso único del artículo 5 del Acuerdo 642 de 2016, el cual quedará así: “ARTÍCULO 5. AUTORIZACIÓN PARA VARIAR EL DESTINO DE BIENES DE USO PÚBLICO INCLUIDOS EN EL ESPACIO PÚBLICO. De conformidad con el artículo 6 de la Ley 9 de 1989, se autoriza a la empresa METRO DE BOGOTÁ S.A. y al Instituto de Desarrollo Urbano IDU para efectuar las variaciones del destino de los bienes de uso público incluidos en el espacio público, necesarias para el adecuado desarrollo y la operación eficiente de las líneas del metro y líneas férreas, estaciones, troncales, parqueaderos para buses, zonas de estacionamientos y recarga de electricidad para taxis (Electrolineras) y demás elementos constitutivos e infraestructuras asociadas al Sistema Integrado de Transporte Público de Bogotá y Sistema Integrado de Transporte Público Regional. En cualquier caso, los bienes de uso público que pierdan su calidad de espacio público deberán ser sustituidos por otros espacios públicos con áreas iguales o superiores, dentro del área de influencia de la infraestructura que justifica la variación y antes de la entrada en operación de la misma infraestructura”</w:t>
      </w:r>
    </w:p>
    <w:p w14:paraId="5DBAAE16" w14:textId="656B7FED" w:rsidR="004136F6" w:rsidRPr="00F25895" w:rsidRDefault="004136F6" w:rsidP="00621C9B">
      <w:pPr>
        <w:widowControl w:val="0"/>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p>
    <w:p w14:paraId="13D8D40C" w14:textId="77777777" w:rsidR="00621C9B" w:rsidRPr="00F25895" w:rsidRDefault="00621C9B" w:rsidP="00621C9B">
      <w:pPr>
        <w:widowControl w:val="0"/>
        <w:numPr>
          <w:ilvl w:val="0"/>
          <w:numId w:val="12"/>
        </w:numPr>
        <w:pBdr>
          <w:top w:val="nil"/>
          <w:left w:val="nil"/>
          <w:bottom w:val="nil"/>
          <w:right w:val="nil"/>
          <w:between w:val="nil"/>
        </w:pBdr>
        <w:spacing w:after="0" w:line="240" w:lineRule="auto"/>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JUSTIFICACIÓN DEL PROYECTO Y ANÁLISIS DE LA INICIATIVA</w:t>
      </w:r>
    </w:p>
    <w:p w14:paraId="5D079EF5" w14:textId="77777777" w:rsidR="00235412" w:rsidRPr="00F25895" w:rsidRDefault="00235412"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2EB91AD0" w14:textId="065DF188" w:rsidR="00AE434F" w:rsidRPr="00F25895" w:rsidRDefault="00AE434F"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La movilidad eléctrica juega un papel fundamental en la reducción de emisiones de gases de efecto invernadero y en la transición hacia energías más limpias por varias razones:</w:t>
      </w:r>
    </w:p>
    <w:p w14:paraId="0E465EFA" w14:textId="77777777" w:rsidR="00AE434F" w:rsidRPr="00F25895" w:rsidRDefault="00AE434F"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0E5E878D" w14:textId="77777777" w:rsidR="00FF10EC" w:rsidRPr="00F25895" w:rsidRDefault="00AE434F" w:rsidP="0038411E">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Reducción de Emisiones Directas: Los vehículos eléctricos (VE) no emiten gases contaminantes ni partículas nocivas durante su funcionamiento, en contraste con los vehículos de combustión interna que generan emisiones significativas de dióxido de carbono (CO2), óxidos de nitrógeno (</w:t>
      </w:r>
      <w:proofErr w:type="spellStart"/>
      <w:r w:rsidRPr="00F25895">
        <w:rPr>
          <w:rFonts w:ascii="Arial" w:eastAsia="Times New Roman" w:hAnsi="Arial" w:cs="Arial"/>
          <w:color w:val="000000" w:themeColor="text1"/>
          <w:kern w:val="0"/>
          <w:sz w:val="24"/>
          <w:szCs w:val="24"/>
          <w:lang w:val="es-ES" w:eastAsia="es-ES"/>
          <w14:ligatures w14:val="none"/>
        </w:rPr>
        <w:t>NOx</w:t>
      </w:r>
      <w:proofErr w:type="spellEnd"/>
      <w:r w:rsidRPr="00F25895">
        <w:rPr>
          <w:rFonts w:ascii="Arial" w:eastAsia="Times New Roman" w:hAnsi="Arial" w:cs="Arial"/>
          <w:color w:val="000000" w:themeColor="text1"/>
          <w:kern w:val="0"/>
          <w:sz w:val="24"/>
          <w:szCs w:val="24"/>
          <w:lang w:val="es-ES" w:eastAsia="es-ES"/>
          <w14:ligatures w14:val="none"/>
        </w:rPr>
        <w:t>) y partículas finas.</w:t>
      </w:r>
    </w:p>
    <w:p w14:paraId="4998677F" w14:textId="77777777" w:rsidR="00FF10EC" w:rsidRPr="00F25895" w:rsidRDefault="00FF10EC" w:rsidP="00FF10EC">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575D87B5" w14:textId="77777777" w:rsidR="00FF10EC" w:rsidRPr="00F25895" w:rsidRDefault="00AE434F" w:rsidP="00AE434F">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Eficiencia Energética: Los VE son más eficientes en la conversión de energía eléctrica a movimiento que los vehículos de combustión interna. Esto significa que, incluso si la electricidad proviene de fuentes no renovables, como el carbón, la huella de carbono total sigue siendo menor en comparación con los vehículos convencionales.</w:t>
      </w:r>
    </w:p>
    <w:p w14:paraId="3A2C0C9C" w14:textId="77777777" w:rsidR="00FF10EC" w:rsidRPr="00F25895" w:rsidRDefault="00FF10EC" w:rsidP="00FF10EC">
      <w:pPr>
        <w:pStyle w:val="Prrafodelista"/>
        <w:rPr>
          <w:rFonts w:ascii="Arial" w:eastAsia="Times New Roman" w:hAnsi="Arial" w:cs="Arial"/>
          <w:color w:val="000000" w:themeColor="text1"/>
          <w:kern w:val="0"/>
          <w:sz w:val="24"/>
          <w:szCs w:val="24"/>
          <w:lang w:val="es-ES" w:eastAsia="es-ES"/>
          <w14:ligatures w14:val="none"/>
        </w:rPr>
      </w:pPr>
    </w:p>
    <w:p w14:paraId="4ABD0412" w14:textId="77777777" w:rsidR="00FF10EC" w:rsidRPr="00F25895" w:rsidRDefault="00AE434F" w:rsidP="00AE434F">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Promoción de Energías Renovables: La adopción de vehículos eléctricos crea una demanda adicional de electricidad, lo que puede incentivar la inversión en energías renovables como la solar, eólica e hidroeléctrica. Estas fuentes son menos contaminantes y contribuyen menos al calentamiento global que los combustibles fósiles.</w:t>
      </w:r>
    </w:p>
    <w:p w14:paraId="5052071F" w14:textId="77777777" w:rsidR="00FF10EC" w:rsidRPr="00F25895" w:rsidRDefault="00FF10EC" w:rsidP="00FF10EC">
      <w:pPr>
        <w:pStyle w:val="Prrafodelista"/>
        <w:rPr>
          <w:rFonts w:ascii="Arial" w:eastAsia="Times New Roman" w:hAnsi="Arial" w:cs="Arial"/>
          <w:color w:val="000000" w:themeColor="text1"/>
          <w:kern w:val="0"/>
          <w:sz w:val="24"/>
          <w:szCs w:val="24"/>
          <w:lang w:val="es-ES" w:eastAsia="es-ES"/>
          <w14:ligatures w14:val="none"/>
        </w:rPr>
      </w:pPr>
    </w:p>
    <w:p w14:paraId="3AE93899" w14:textId="77777777" w:rsidR="00FF10EC" w:rsidRPr="00F25895" w:rsidRDefault="00AE434F" w:rsidP="00AE434F">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Mejora de la Calidad del Aire: Al reducir las emisiones locales de contaminantes como el dióxido de nitrógeno (NO2) y las partículas en suspensión, los VE ayudan a mejorar la calidad del aire en entornos urbanos, lo que tiene beneficios directos para la salud pública al reducir enfermedades respiratorias y cardiovasculares.</w:t>
      </w:r>
    </w:p>
    <w:p w14:paraId="202D0AD1" w14:textId="77777777" w:rsidR="00FF10EC" w:rsidRPr="00F25895" w:rsidRDefault="00FF10EC" w:rsidP="00FF10EC">
      <w:pPr>
        <w:pStyle w:val="Prrafodelista"/>
        <w:rPr>
          <w:rFonts w:ascii="Arial" w:eastAsia="Times New Roman" w:hAnsi="Arial" w:cs="Arial"/>
          <w:color w:val="000000" w:themeColor="text1"/>
          <w:kern w:val="0"/>
          <w:sz w:val="24"/>
          <w:szCs w:val="24"/>
          <w:lang w:val="es-ES" w:eastAsia="es-ES"/>
          <w14:ligatures w14:val="none"/>
        </w:rPr>
      </w:pPr>
    </w:p>
    <w:p w14:paraId="07E5E605" w14:textId="77777777" w:rsidR="00FF10EC" w:rsidRPr="00F25895" w:rsidRDefault="00AE434F" w:rsidP="00AE434F">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Resiliencia Energética: La diversificación del transporte hacia la electricidad reduce la dependencia de los combustibles fósiles, mitigando así la volatilidad de los precios del petróleo y fortaleciendo la seguridad energética a nivel nacional e internacional.</w:t>
      </w:r>
    </w:p>
    <w:p w14:paraId="19B6111B" w14:textId="77777777" w:rsidR="00FF10EC" w:rsidRPr="00F25895" w:rsidRDefault="00FF10EC" w:rsidP="00FF10EC">
      <w:pPr>
        <w:pStyle w:val="Prrafodelista"/>
        <w:rPr>
          <w:rFonts w:ascii="Arial" w:eastAsia="Times New Roman" w:hAnsi="Arial" w:cs="Arial"/>
          <w:color w:val="000000" w:themeColor="text1"/>
          <w:kern w:val="0"/>
          <w:sz w:val="24"/>
          <w:szCs w:val="24"/>
          <w:lang w:val="es-ES" w:eastAsia="es-ES"/>
          <w14:ligatures w14:val="none"/>
        </w:rPr>
      </w:pPr>
    </w:p>
    <w:p w14:paraId="3728142E" w14:textId="4A35AACA" w:rsidR="00AE434F" w:rsidRPr="00F25895" w:rsidRDefault="00AE434F" w:rsidP="00AE434F">
      <w:pPr>
        <w:pStyle w:val="Prrafodelista"/>
        <w:numPr>
          <w:ilvl w:val="0"/>
          <w:numId w:val="2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Reducción del Ruido: Los VE son considerablemente más silenciosos que los vehículos de combustión, lo que reduce la contaminación acústica en áreas urbanas y mejora el bienestar de los residentes.</w:t>
      </w:r>
    </w:p>
    <w:p w14:paraId="179AE734" w14:textId="77777777" w:rsidR="00AE434F" w:rsidRPr="00F25895" w:rsidRDefault="00AE434F"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9B0B684" w14:textId="077B399D" w:rsidR="00AE434F" w:rsidRPr="00F25895" w:rsidRDefault="00EB559E"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L</w:t>
      </w:r>
      <w:r w:rsidR="00AE434F" w:rsidRPr="00F25895">
        <w:rPr>
          <w:rFonts w:ascii="Arial" w:eastAsia="Times New Roman" w:hAnsi="Arial" w:cs="Arial"/>
          <w:color w:val="000000" w:themeColor="text1"/>
          <w:kern w:val="0"/>
          <w:sz w:val="24"/>
          <w:szCs w:val="24"/>
          <w:lang w:val="es-ES" w:eastAsia="es-ES"/>
          <w14:ligatures w14:val="none"/>
        </w:rPr>
        <w:t>a movilidad eléctrica no solo contribuye a la reducción directa de emisiones de gases de efecto invernadero, sino que también impulsa la transición hacia un sistema de transporte más sostenible, limpio y energéticamente</w:t>
      </w:r>
      <w:r w:rsidR="00F47AEB" w:rsidRPr="00F47AEB">
        <w:rPr>
          <w:rFonts w:ascii="Arial" w:eastAsia="Times New Roman" w:hAnsi="Arial" w:cs="Arial"/>
          <w:color w:val="000000" w:themeColor="text1"/>
          <w:kern w:val="0"/>
          <w:sz w:val="24"/>
          <w:szCs w:val="24"/>
          <w:lang w:val="es-ES" w:eastAsia="es-ES"/>
          <w14:ligatures w14:val="none"/>
        </w:rPr>
        <w:t xml:space="preserve"> </w:t>
      </w:r>
      <w:r w:rsidR="00F47AEB" w:rsidRPr="00F25895">
        <w:rPr>
          <w:rFonts w:ascii="Arial" w:eastAsia="Times New Roman" w:hAnsi="Arial" w:cs="Arial"/>
          <w:color w:val="000000" w:themeColor="text1"/>
          <w:kern w:val="0"/>
          <w:sz w:val="24"/>
          <w:szCs w:val="24"/>
          <w:lang w:val="es-ES" w:eastAsia="es-ES"/>
          <w14:ligatures w14:val="none"/>
        </w:rPr>
        <w:t>eficiente</w:t>
      </w:r>
      <w:r w:rsidR="00AE434F" w:rsidRPr="00F25895">
        <w:rPr>
          <w:rFonts w:ascii="Arial" w:eastAsia="Times New Roman" w:hAnsi="Arial" w:cs="Arial"/>
          <w:color w:val="000000" w:themeColor="text1"/>
          <w:kern w:val="0"/>
          <w:sz w:val="24"/>
          <w:szCs w:val="24"/>
          <w:lang w:val="es-ES" w:eastAsia="es-ES"/>
          <w14:ligatures w14:val="none"/>
        </w:rPr>
        <w:t>. Esto es fundamental para abordar los desafíos del cambio climático y avanzar hacia un futuro más sostenible y resiliente.</w:t>
      </w:r>
      <w:r w:rsidR="00F47AEB">
        <w:rPr>
          <w:rFonts w:ascii="Arial" w:eastAsia="Times New Roman" w:hAnsi="Arial" w:cs="Arial"/>
          <w:color w:val="000000" w:themeColor="text1"/>
          <w:kern w:val="0"/>
          <w:sz w:val="24"/>
          <w:szCs w:val="24"/>
          <w:lang w:val="es-ES" w:eastAsia="es-ES"/>
          <w14:ligatures w14:val="none"/>
        </w:rPr>
        <w:t xml:space="preserve"> </w:t>
      </w:r>
    </w:p>
    <w:p w14:paraId="234AA67B" w14:textId="659492F9" w:rsidR="002C6B1C" w:rsidRDefault="002C6B1C"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46192732" w14:textId="77777777" w:rsidR="002C6B1C" w:rsidRPr="00F25895" w:rsidRDefault="002C6B1C"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279E2FA3" w14:textId="5A479CAA" w:rsidR="00A776D5" w:rsidRPr="00F25895" w:rsidRDefault="0094067C" w:rsidP="0094067C">
      <w:pPr>
        <w:pStyle w:val="Prrafodelista"/>
        <w:numPr>
          <w:ilvl w:val="0"/>
          <w:numId w:val="16"/>
        </w:numPr>
        <w:spacing w:after="0" w:line="240" w:lineRule="auto"/>
        <w:jc w:val="both"/>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L</w:t>
      </w:r>
      <w:r w:rsidR="00A776D5" w:rsidRPr="00F25895">
        <w:rPr>
          <w:rFonts w:ascii="Arial" w:eastAsia="Times New Roman" w:hAnsi="Arial" w:cs="Arial"/>
          <w:b/>
          <w:bCs/>
          <w:color w:val="000000" w:themeColor="text1"/>
          <w:kern w:val="0"/>
          <w:sz w:val="24"/>
          <w:szCs w:val="24"/>
          <w:lang w:val="es-ES" w:eastAsia="es-ES"/>
          <w14:ligatures w14:val="none"/>
        </w:rPr>
        <w:t xml:space="preserve">a importancia de las electrolineras en </w:t>
      </w:r>
      <w:r w:rsidR="00127BB3" w:rsidRPr="00F25895">
        <w:rPr>
          <w:rFonts w:ascii="Arial" w:eastAsia="Times New Roman" w:hAnsi="Arial" w:cs="Arial"/>
          <w:b/>
          <w:bCs/>
          <w:color w:val="000000" w:themeColor="text1"/>
          <w:kern w:val="0"/>
          <w:sz w:val="24"/>
          <w:szCs w:val="24"/>
          <w:lang w:val="es-ES" w:eastAsia="es-ES"/>
          <w14:ligatures w14:val="none"/>
        </w:rPr>
        <w:t xml:space="preserve">la transición a energías limpias. </w:t>
      </w:r>
    </w:p>
    <w:p w14:paraId="5AD140AF" w14:textId="77777777" w:rsidR="00EB559E" w:rsidRPr="00F25895" w:rsidRDefault="00EB559E"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6CBC55F0" w14:textId="2B1049B1" w:rsidR="00D94F30" w:rsidRPr="00F25895" w:rsidRDefault="00D94F30" w:rsidP="00D94F30">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 xml:space="preserve">Las electrolineras, o estaciones de carga para vehículos eléctricos (VE), son infraestructuras fundamentales que desempeñan varios roles clave para facilitar la adopción masiva de VE y contribuir a la reducción de la dependencia de </w:t>
      </w:r>
      <w:r w:rsidRPr="00F25895">
        <w:rPr>
          <w:rFonts w:ascii="Arial" w:eastAsia="Times New Roman" w:hAnsi="Arial" w:cs="Arial"/>
          <w:color w:val="000000" w:themeColor="text1"/>
          <w:kern w:val="0"/>
          <w:sz w:val="24"/>
          <w:szCs w:val="24"/>
          <w:lang w:val="es-ES" w:eastAsia="es-ES"/>
          <w14:ligatures w14:val="none"/>
        </w:rPr>
        <w:lastRenderedPageBreak/>
        <w:t>combustibles fósiles, así como a mejorar la calidad del aire en áreas urbanas</w:t>
      </w:r>
      <w:r w:rsidR="006A0891" w:rsidRPr="00F25895">
        <w:rPr>
          <w:rFonts w:ascii="Arial" w:eastAsia="Times New Roman" w:hAnsi="Arial" w:cs="Arial"/>
          <w:color w:val="000000" w:themeColor="text1"/>
          <w:kern w:val="0"/>
          <w:sz w:val="24"/>
          <w:szCs w:val="24"/>
          <w:lang w:val="es-ES" w:eastAsia="es-ES"/>
          <w14:ligatures w14:val="none"/>
        </w:rPr>
        <w:t>.</w:t>
      </w:r>
      <w:r w:rsidR="00402D1C" w:rsidRPr="00F25895">
        <w:rPr>
          <w:rFonts w:ascii="Arial" w:eastAsia="Times New Roman" w:hAnsi="Arial" w:cs="Arial"/>
          <w:color w:val="000000" w:themeColor="text1"/>
          <w:kern w:val="0"/>
          <w:sz w:val="24"/>
          <w:szCs w:val="24"/>
          <w:lang w:val="es-ES" w:eastAsia="es-ES"/>
          <w14:ligatures w14:val="none"/>
        </w:rPr>
        <w:t xml:space="preserve"> </w:t>
      </w:r>
      <w:r w:rsidR="006A0891" w:rsidRPr="00F25895">
        <w:rPr>
          <w:rFonts w:ascii="Arial" w:eastAsia="Times New Roman" w:hAnsi="Arial" w:cs="Arial"/>
          <w:color w:val="000000" w:themeColor="text1"/>
          <w:kern w:val="0"/>
          <w:sz w:val="24"/>
          <w:szCs w:val="24"/>
          <w:lang w:val="es-ES" w:eastAsia="es-ES"/>
          <w14:ligatures w14:val="none"/>
        </w:rPr>
        <w:t>P</w:t>
      </w:r>
      <w:r w:rsidR="00402D1C" w:rsidRPr="00F25895">
        <w:rPr>
          <w:rFonts w:ascii="Arial" w:eastAsia="Times New Roman" w:hAnsi="Arial" w:cs="Arial"/>
          <w:color w:val="000000" w:themeColor="text1"/>
          <w:kern w:val="0"/>
          <w:sz w:val="24"/>
          <w:szCs w:val="24"/>
          <w:lang w:val="es-ES" w:eastAsia="es-ES"/>
          <w14:ligatures w14:val="none"/>
        </w:rPr>
        <w:t>or es</w:t>
      </w:r>
      <w:r w:rsidR="006A0891" w:rsidRPr="00F25895">
        <w:rPr>
          <w:rFonts w:ascii="Arial" w:eastAsia="Times New Roman" w:hAnsi="Arial" w:cs="Arial"/>
          <w:color w:val="000000" w:themeColor="text1"/>
          <w:kern w:val="0"/>
          <w:sz w:val="24"/>
          <w:szCs w:val="24"/>
          <w:lang w:val="es-ES" w:eastAsia="es-ES"/>
          <w14:ligatures w14:val="none"/>
        </w:rPr>
        <w:t xml:space="preserve">o se </w:t>
      </w:r>
      <w:r w:rsidR="00402D1C" w:rsidRPr="00F25895">
        <w:rPr>
          <w:rFonts w:ascii="Arial" w:eastAsia="Times New Roman" w:hAnsi="Arial" w:cs="Arial"/>
          <w:color w:val="000000" w:themeColor="text1"/>
          <w:kern w:val="0"/>
          <w:sz w:val="24"/>
          <w:szCs w:val="24"/>
          <w:lang w:val="es-ES" w:eastAsia="es-ES"/>
          <w14:ligatures w14:val="none"/>
        </w:rPr>
        <w:t xml:space="preserve">expondrán algunas bondades que demuestran la importancia de </w:t>
      </w:r>
      <w:r w:rsidR="006A0891" w:rsidRPr="00F25895">
        <w:rPr>
          <w:rFonts w:ascii="Arial" w:eastAsia="Times New Roman" w:hAnsi="Arial" w:cs="Arial"/>
          <w:color w:val="000000" w:themeColor="text1"/>
          <w:kern w:val="0"/>
          <w:sz w:val="24"/>
          <w:szCs w:val="24"/>
          <w:lang w:val="es-ES" w:eastAsia="es-ES"/>
          <w14:ligatures w14:val="none"/>
        </w:rPr>
        <w:t xml:space="preserve">la construcción de </w:t>
      </w:r>
      <w:r w:rsidR="006A0D2D">
        <w:rPr>
          <w:rFonts w:ascii="Arial" w:eastAsia="Times New Roman" w:hAnsi="Arial" w:cs="Arial"/>
          <w:color w:val="000000" w:themeColor="text1"/>
          <w:kern w:val="0"/>
          <w:sz w:val="24"/>
          <w:szCs w:val="24"/>
          <w:lang w:val="es-ES" w:eastAsia="es-ES"/>
          <w14:ligatures w14:val="none"/>
        </w:rPr>
        <w:t>estas electrolineras</w:t>
      </w:r>
      <w:r w:rsidRPr="00F25895">
        <w:rPr>
          <w:rFonts w:ascii="Arial" w:eastAsia="Times New Roman" w:hAnsi="Arial" w:cs="Arial"/>
          <w:color w:val="000000" w:themeColor="text1"/>
          <w:kern w:val="0"/>
          <w:sz w:val="24"/>
          <w:szCs w:val="24"/>
          <w:lang w:val="es-ES" w:eastAsia="es-ES"/>
          <w14:ligatures w14:val="none"/>
        </w:rPr>
        <w:t>:</w:t>
      </w:r>
    </w:p>
    <w:p w14:paraId="1039D7CB" w14:textId="77777777" w:rsidR="00D94F30" w:rsidRPr="00F25895" w:rsidRDefault="00D94F30" w:rsidP="00D94F30">
      <w:pPr>
        <w:spacing w:after="0" w:line="240" w:lineRule="auto"/>
        <w:jc w:val="both"/>
        <w:rPr>
          <w:rFonts w:ascii="Arial" w:eastAsia="Times New Roman" w:hAnsi="Arial" w:cs="Arial"/>
          <w:color w:val="000000" w:themeColor="text1"/>
          <w:kern w:val="0"/>
          <w:sz w:val="24"/>
          <w:szCs w:val="24"/>
          <w:lang w:val="es-ES" w:eastAsia="es-ES"/>
          <w14:ligatures w14:val="none"/>
        </w:rPr>
      </w:pPr>
    </w:p>
    <w:p w14:paraId="19AD28D6" w14:textId="3DCEFD9D" w:rsidR="0089352D"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 xml:space="preserve">Accesibilidad y Conveniencia: Las electrolineras proporcionan puntos de recarga accesibles y convenientes para los propietarios de vehículos eléctricos. Al aumentar la densidad de estas estaciones en áreas urbanas y a lo largo de </w:t>
      </w:r>
      <w:r w:rsidR="006D4521">
        <w:rPr>
          <w:rFonts w:ascii="Arial" w:eastAsia="Times New Roman" w:hAnsi="Arial" w:cs="Arial"/>
          <w:color w:val="000000" w:themeColor="text1"/>
          <w:kern w:val="0"/>
          <w:sz w:val="24"/>
          <w:szCs w:val="24"/>
          <w:lang w:val="es-ES" w:eastAsia="es-ES"/>
          <w14:ligatures w14:val="none"/>
        </w:rPr>
        <w:t xml:space="preserve">las vías y </w:t>
      </w:r>
      <w:r w:rsidRPr="00F25895">
        <w:rPr>
          <w:rFonts w:ascii="Arial" w:eastAsia="Times New Roman" w:hAnsi="Arial" w:cs="Arial"/>
          <w:color w:val="000000" w:themeColor="text1"/>
          <w:kern w:val="0"/>
          <w:sz w:val="24"/>
          <w:szCs w:val="24"/>
          <w:lang w:val="es-ES" w:eastAsia="es-ES"/>
          <w14:ligatures w14:val="none"/>
        </w:rPr>
        <w:t>carreteras, se elimina la preocupación por la autonomía limitada fomenta</w:t>
      </w:r>
      <w:r w:rsidR="006D4521">
        <w:rPr>
          <w:rFonts w:ascii="Arial" w:eastAsia="Times New Roman" w:hAnsi="Arial" w:cs="Arial"/>
          <w:color w:val="000000" w:themeColor="text1"/>
          <w:kern w:val="0"/>
          <w:sz w:val="24"/>
          <w:szCs w:val="24"/>
          <w:lang w:val="es-ES" w:eastAsia="es-ES"/>
          <w14:ligatures w14:val="none"/>
        </w:rPr>
        <w:t>ndo</w:t>
      </w:r>
      <w:r w:rsidRPr="00F25895">
        <w:rPr>
          <w:rFonts w:ascii="Arial" w:eastAsia="Times New Roman" w:hAnsi="Arial" w:cs="Arial"/>
          <w:color w:val="000000" w:themeColor="text1"/>
          <w:kern w:val="0"/>
          <w:sz w:val="24"/>
          <w:szCs w:val="24"/>
          <w:lang w:val="es-ES" w:eastAsia="es-ES"/>
          <w14:ligatures w14:val="none"/>
        </w:rPr>
        <w:t xml:space="preserve"> la confianza de los conductores en los </w:t>
      </w:r>
      <w:r w:rsidR="006D4521" w:rsidRPr="00F25895">
        <w:rPr>
          <w:rFonts w:ascii="Arial" w:eastAsia="Times New Roman" w:hAnsi="Arial" w:cs="Arial"/>
          <w:color w:val="000000" w:themeColor="text1"/>
          <w:kern w:val="0"/>
          <w:sz w:val="24"/>
          <w:szCs w:val="24"/>
          <w:lang w:val="es-ES" w:eastAsia="es-ES"/>
          <w14:ligatures w14:val="none"/>
        </w:rPr>
        <w:t>vehículos eléctrico</w:t>
      </w:r>
      <w:r w:rsidR="006D4521">
        <w:rPr>
          <w:rFonts w:ascii="Arial" w:eastAsia="Times New Roman" w:hAnsi="Arial" w:cs="Arial"/>
          <w:color w:val="000000" w:themeColor="text1"/>
          <w:kern w:val="0"/>
          <w:sz w:val="24"/>
          <w:szCs w:val="24"/>
          <w:lang w:val="es-ES" w:eastAsia="es-ES"/>
          <w14:ligatures w14:val="none"/>
        </w:rPr>
        <w:t xml:space="preserve">. </w:t>
      </w:r>
    </w:p>
    <w:p w14:paraId="2D8E9902" w14:textId="77777777" w:rsidR="0089352D" w:rsidRPr="00F25895" w:rsidRDefault="0089352D" w:rsidP="0089352D">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2F24E0DE" w14:textId="77777777" w:rsidR="0089352D"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Reducción de la Ansiedad por la Autonomía: La existencia de una red robusta de electrolineras ayuda a mitigar la "ansiedad por la autonomía" que puede disuadir a los consumidores de adoptar vehículos eléctricos. Los conductores pueden planificar viajes más largos con la seguridad de que podrán recargar sus vehículos en el camino.</w:t>
      </w:r>
    </w:p>
    <w:p w14:paraId="7677C528" w14:textId="77777777" w:rsidR="0089352D" w:rsidRPr="00F25895" w:rsidRDefault="0089352D" w:rsidP="0089352D">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4580C385" w14:textId="28F9732D" w:rsidR="0089352D"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 xml:space="preserve">Incentivo a la Adopción de Vehículos Eléctricos: La disponibilidad de electrolineras actúa como un incentivo directo para que más personas consideren la compra de vehículos eléctricos. A medida que aumenta la infraestructura de carga, se elimina una barrera significativa para la adopción masiva de </w:t>
      </w:r>
      <w:r w:rsidR="00C85E45" w:rsidRPr="00F25895">
        <w:rPr>
          <w:rFonts w:ascii="Arial" w:eastAsia="Times New Roman" w:hAnsi="Arial" w:cs="Arial"/>
          <w:color w:val="000000" w:themeColor="text1"/>
          <w:kern w:val="0"/>
          <w:sz w:val="24"/>
          <w:szCs w:val="24"/>
          <w:lang w:val="es-ES" w:eastAsia="es-ES"/>
          <w14:ligatures w14:val="none"/>
        </w:rPr>
        <w:t>vehículos eléctricos</w:t>
      </w:r>
      <w:r w:rsidR="00C85E45">
        <w:rPr>
          <w:rFonts w:ascii="Arial" w:eastAsia="Times New Roman" w:hAnsi="Arial" w:cs="Arial"/>
          <w:color w:val="000000" w:themeColor="text1"/>
          <w:kern w:val="0"/>
          <w:sz w:val="24"/>
          <w:szCs w:val="24"/>
          <w:lang w:val="es-ES" w:eastAsia="es-ES"/>
          <w14:ligatures w14:val="none"/>
        </w:rPr>
        <w:t>.</w:t>
      </w:r>
    </w:p>
    <w:p w14:paraId="5000D7EB" w14:textId="77777777" w:rsidR="0089352D" w:rsidRPr="00F25895" w:rsidRDefault="0089352D" w:rsidP="0089352D">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61449DEE" w14:textId="77777777" w:rsidR="0089352D"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Reducción de Emisiones Locales: Al facilitar la transición hacia vehículos eléctricos, las electrolineras contribuyen directamente a la reducción de emisiones locales de contaminantes atmosféricos como el dióxido de nitrógeno (NO2) y las partículas en suspensión. Esto mejora la calidad del aire en áreas urbanas y reduce los impactos negativos en la salud pública asociados con la contaminación del aire.</w:t>
      </w:r>
    </w:p>
    <w:p w14:paraId="1CE5D040" w14:textId="77777777" w:rsidR="0089352D" w:rsidRPr="00F25895" w:rsidRDefault="0089352D" w:rsidP="0089352D">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5371776E" w14:textId="77777777" w:rsidR="0089352D"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Promoción de Energías Renovables: Las electrolineras pueden ser integradas con fuentes de energía renovable, como la solar o la eólica, contribuyendo así a una red eléctrica más limpia y sostenible. Esto fortalece aún más el caso para la transición hacia un transporte eléctrico que sea completamente libre de emisiones de carbono.</w:t>
      </w:r>
    </w:p>
    <w:p w14:paraId="60773036" w14:textId="77777777" w:rsidR="0089352D" w:rsidRPr="00F25895" w:rsidRDefault="0089352D" w:rsidP="0089352D">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132F1446" w14:textId="007995B8" w:rsidR="00D94F30" w:rsidRPr="00F25895" w:rsidRDefault="00D94F30" w:rsidP="00D94F30">
      <w:pPr>
        <w:pStyle w:val="Prrafodelista"/>
        <w:numPr>
          <w:ilvl w:val="0"/>
          <w:numId w:val="20"/>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Estímulo Económico y Empleo: La construcción y operación de electrolineras crea empleos locales en sectores relacionados con la energía renovable y la infraestructura de transporte eléctrico. Además, impulsa la innovación tecnológica en el desarrollo de soluciones de carga más eficientes y rápidas.</w:t>
      </w:r>
    </w:p>
    <w:p w14:paraId="10298B2A" w14:textId="77777777" w:rsidR="00D94F30" w:rsidRPr="00F25895" w:rsidRDefault="00D94F30" w:rsidP="00D94F30">
      <w:pPr>
        <w:spacing w:after="0" w:line="240" w:lineRule="auto"/>
        <w:jc w:val="both"/>
        <w:rPr>
          <w:rFonts w:ascii="Arial" w:eastAsia="Times New Roman" w:hAnsi="Arial" w:cs="Arial"/>
          <w:color w:val="000000" w:themeColor="text1"/>
          <w:kern w:val="0"/>
          <w:sz w:val="24"/>
          <w:szCs w:val="24"/>
          <w:lang w:val="es-ES" w:eastAsia="es-ES"/>
          <w14:ligatures w14:val="none"/>
        </w:rPr>
      </w:pPr>
    </w:p>
    <w:p w14:paraId="46BE5C0A" w14:textId="1E343E03" w:rsidR="00387F79" w:rsidRPr="00F25895" w:rsidRDefault="00974EDD" w:rsidP="00D94F30">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lastRenderedPageBreak/>
        <w:t>L</w:t>
      </w:r>
      <w:r w:rsidR="00D94F30" w:rsidRPr="00F25895">
        <w:rPr>
          <w:rFonts w:ascii="Arial" w:eastAsia="Times New Roman" w:hAnsi="Arial" w:cs="Arial"/>
          <w:color w:val="000000" w:themeColor="text1"/>
          <w:kern w:val="0"/>
          <w:sz w:val="24"/>
          <w:szCs w:val="24"/>
          <w:lang w:val="es-ES" w:eastAsia="es-ES"/>
          <w14:ligatures w14:val="none"/>
        </w:rPr>
        <w:t xml:space="preserve">as electrolineras </w:t>
      </w:r>
      <w:r w:rsidRPr="00F25895">
        <w:rPr>
          <w:rFonts w:ascii="Arial" w:eastAsia="Times New Roman" w:hAnsi="Arial" w:cs="Arial"/>
          <w:color w:val="000000" w:themeColor="text1"/>
          <w:kern w:val="0"/>
          <w:sz w:val="24"/>
          <w:szCs w:val="24"/>
          <w:lang w:val="es-ES" w:eastAsia="es-ES"/>
          <w14:ligatures w14:val="none"/>
        </w:rPr>
        <w:t xml:space="preserve">resultan </w:t>
      </w:r>
      <w:r w:rsidR="00D94F30" w:rsidRPr="00F25895">
        <w:rPr>
          <w:rFonts w:ascii="Arial" w:eastAsia="Times New Roman" w:hAnsi="Arial" w:cs="Arial"/>
          <w:color w:val="000000" w:themeColor="text1"/>
          <w:kern w:val="0"/>
          <w:sz w:val="24"/>
          <w:szCs w:val="24"/>
          <w:lang w:val="es-ES" w:eastAsia="es-ES"/>
          <w14:ligatures w14:val="none"/>
        </w:rPr>
        <w:t>cruciales para acelerar la adopción de vehículos eléctricos al hacer que la carga sea más accesible, conveniente y confiable. Esto no solo reduce la dependencia de combustibles fósiles y mejora la calidad del aire, sino que también promueve una economía más limpia y sostenible a largo plazo.</w:t>
      </w:r>
    </w:p>
    <w:p w14:paraId="4C23CB27" w14:textId="77777777" w:rsidR="00387F79" w:rsidRPr="00F25895" w:rsidRDefault="00387F79" w:rsidP="00D94F30">
      <w:pPr>
        <w:spacing w:after="0" w:line="240" w:lineRule="auto"/>
        <w:jc w:val="both"/>
        <w:rPr>
          <w:rFonts w:ascii="Arial" w:eastAsia="Times New Roman" w:hAnsi="Arial" w:cs="Arial"/>
          <w:color w:val="000000" w:themeColor="text1"/>
          <w:kern w:val="0"/>
          <w:sz w:val="24"/>
          <w:szCs w:val="24"/>
          <w:lang w:val="es-ES" w:eastAsia="es-ES"/>
          <w14:ligatures w14:val="none"/>
        </w:rPr>
      </w:pPr>
    </w:p>
    <w:p w14:paraId="0186B3F0" w14:textId="358B9493" w:rsidR="00072DD2" w:rsidRPr="00F25895" w:rsidRDefault="0094067C" w:rsidP="0094067C">
      <w:pPr>
        <w:pStyle w:val="Prrafodelista"/>
        <w:numPr>
          <w:ilvl w:val="0"/>
          <w:numId w:val="16"/>
        </w:numPr>
        <w:spacing w:after="0" w:line="240" w:lineRule="auto"/>
        <w:jc w:val="both"/>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L</w:t>
      </w:r>
      <w:r w:rsidR="006402FC" w:rsidRPr="00F25895">
        <w:rPr>
          <w:rFonts w:ascii="Arial" w:eastAsia="Times New Roman" w:hAnsi="Arial" w:cs="Arial"/>
          <w:b/>
          <w:bCs/>
          <w:color w:val="000000" w:themeColor="text1"/>
          <w:kern w:val="0"/>
          <w:sz w:val="24"/>
          <w:szCs w:val="24"/>
          <w:lang w:val="es-ES" w:eastAsia="es-ES"/>
          <w14:ligatures w14:val="none"/>
        </w:rPr>
        <w:t>a importancia de este proyecto de acuerdo y las barreras que</w:t>
      </w:r>
      <w:r w:rsidR="00235412" w:rsidRPr="00F25895">
        <w:rPr>
          <w:rFonts w:ascii="Arial" w:eastAsia="Times New Roman" w:hAnsi="Arial" w:cs="Arial"/>
          <w:b/>
          <w:bCs/>
          <w:color w:val="000000" w:themeColor="text1"/>
          <w:kern w:val="0"/>
          <w:sz w:val="24"/>
          <w:szCs w:val="24"/>
          <w:lang w:val="es-ES" w:eastAsia="es-ES"/>
          <w14:ligatures w14:val="none"/>
        </w:rPr>
        <w:t xml:space="preserve"> los incentivos</w:t>
      </w:r>
      <w:r w:rsidR="006402FC" w:rsidRPr="00F25895">
        <w:rPr>
          <w:rFonts w:ascii="Arial" w:eastAsia="Times New Roman" w:hAnsi="Arial" w:cs="Arial"/>
          <w:b/>
          <w:bCs/>
          <w:color w:val="000000" w:themeColor="text1"/>
          <w:kern w:val="0"/>
          <w:sz w:val="24"/>
          <w:szCs w:val="24"/>
          <w:lang w:val="es-ES" w:eastAsia="es-ES"/>
          <w14:ligatures w14:val="none"/>
        </w:rPr>
        <w:t xml:space="preserve"> buscan superar</w:t>
      </w:r>
      <w:r w:rsidR="00B31D41" w:rsidRPr="00F25895">
        <w:rPr>
          <w:rFonts w:ascii="Arial" w:eastAsia="Times New Roman" w:hAnsi="Arial" w:cs="Arial"/>
          <w:b/>
          <w:bCs/>
          <w:color w:val="000000" w:themeColor="text1"/>
          <w:kern w:val="0"/>
          <w:sz w:val="24"/>
          <w:szCs w:val="24"/>
          <w:lang w:val="es-ES" w:eastAsia="es-ES"/>
          <w14:ligatures w14:val="none"/>
        </w:rPr>
        <w:t>.</w:t>
      </w:r>
    </w:p>
    <w:p w14:paraId="5D421B1B" w14:textId="77777777" w:rsidR="00B31D41" w:rsidRPr="00F25895" w:rsidRDefault="00B31D41" w:rsidP="00D94F30">
      <w:pPr>
        <w:spacing w:after="0" w:line="240" w:lineRule="auto"/>
        <w:jc w:val="both"/>
        <w:rPr>
          <w:rFonts w:ascii="Arial" w:eastAsia="Times New Roman" w:hAnsi="Arial" w:cs="Arial"/>
          <w:b/>
          <w:bCs/>
          <w:color w:val="000000" w:themeColor="text1"/>
          <w:kern w:val="0"/>
          <w:sz w:val="24"/>
          <w:szCs w:val="24"/>
          <w:lang w:val="es-ES" w:eastAsia="es-ES"/>
          <w14:ligatures w14:val="none"/>
        </w:rPr>
      </w:pPr>
    </w:p>
    <w:p w14:paraId="08F959E4"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La instalación de electrolineras enfrenta varias barreras significativas que pueden obstaculizar su expansión y adopción generalizada, a pesar de los numerosos beneficios que ofrecen. Estas barreras incluyen:</w:t>
      </w:r>
    </w:p>
    <w:p w14:paraId="60FA2AC3"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784757BF" w14:textId="2C46F81B" w:rsidR="00235412" w:rsidRPr="00F25895" w:rsidRDefault="00235412" w:rsidP="00AB1AC9">
      <w:pPr>
        <w:pStyle w:val="Prrafodelista"/>
        <w:numPr>
          <w:ilvl w:val="0"/>
          <w:numId w:val="17"/>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Alto Costo Inicial: El despliegue de electrolineras implica un costo inicial elevado, que abarca desde la adquisición de equipos de carga rápida hasta la instalación de la infraestructura eléctrica necesaria. Este costo puede ser prohibitivo para muchas empresas y municipios que desean expandir su red de carga.</w:t>
      </w:r>
    </w:p>
    <w:p w14:paraId="63FE4394"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0FE39F48" w14:textId="77777777" w:rsidR="00AB1AC9" w:rsidRPr="00F25895" w:rsidRDefault="00235412" w:rsidP="00235412">
      <w:pPr>
        <w:pStyle w:val="Prrafodelista"/>
        <w:numPr>
          <w:ilvl w:val="0"/>
          <w:numId w:val="17"/>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Falta de Infraestructura Eléctrica Adecuada: En muchas áreas, especialmente en zonas urbanas densamente pobladas o en áreas rurales, la infraestructura eléctrica existente puede no ser adecuada para soportar múltiples electrolineras de carga rápida. Esto puede requerir actualizaciones costosas en las redes eléctricas locales para satisfacer la demanda de energía adicional.</w:t>
      </w:r>
    </w:p>
    <w:p w14:paraId="2A62456E" w14:textId="77777777" w:rsidR="00AB1AC9" w:rsidRPr="00F25895" w:rsidRDefault="00AB1AC9" w:rsidP="00AB1AC9">
      <w:pPr>
        <w:pStyle w:val="Prrafodelista"/>
        <w:rPr>
          <w:rFonts w:ascii="Arial" w:eastAsia="Times New Roman" w:hAnsi="Arial" w:cs="Arial"/>
          <w:color w:val="000000" w:themeColor="text1"/>
          <w:kern w:val="0"/>
          <w:sz w:val="24"/>
          <w:szCs w:val="24"/>
          <w:lang w:val="es-ES" w:eastAsia="es-ES"/>
          <w14:ligatures w14:val="none"/>
        </w:rPr>
      </w:pPr>
    </w:p>
    <w:p w14:paraId="406B5AC6" w14:textId="5290B7F8" w:rsidR="00235412" w:rsidRPr="00F25895" w:rsidRDefault="00235412" w:rsidP="00235412">
      <w:pPr>
        <w:pStyle w:val="Prrafodelista"/>
        <w:numPr>
          <w:ilvl w:val="0"/>
          <w:numId w:val="17"/>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Necesidad de Estándares de Carga Universal: Existe una falta de estándares universales para la carga de vehículos eléctricos, lo que puede complicar la interoperabilidad entre diferentes fabricantes de vehículos y proveedores de equipos de carga. Esto puede llevar a una experiencia de usuario inconsistente y dificultar la planificación de viajes largos.</w:t>
      </w:r>
    </w:p>
    <w:p w14:paraId="71862974"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2BBEBB74" w14:textId="75BDD256" w:rsidR="00496F8B" w:rsidRPr="00F25895" w:rsidRDefault="00496F8B" w:rsidP="00235412">
      <w:pPr>
        <w:spacing w:after="0" w:line="240" w:lineRule="auto"/>
        <w:jc w:val="both"/>
        <w:rPr>
          <w:rFonts w:ascii="Arial" w:eastAsia="Times New Roman" w:hAnsi="Arial" w:cs="Arial"/>
          <w:b/>
          <w:bCs/>
          <w:color w:val="000000" w:themeColor="text1"/>
          <w:kern w:val="0"/>
          <w:sz w:val="24"/>
          <w:szCs w:val="24"/>
          <w:lang w:val="es-ES" w:eastAsia="es-ES"/>
          <w14:ligatures w14:val="none"/>
        </w:rPr>
      </w:pPr>
      <w:r w:rsidRPr="00F25895">
        <w:rPr>
          <w:rFonts w:ascii="Arial" w:eastAsia="Times New Roman" w:hAnsi="Arial" w:cs="Arial"/>
          <w:b/>
          <w:bCs/>
          <w:color w:val="000000" w:themeColor="text1"/>
          <w:kern w:val="0"/>
          <w:sz w:val="24"/>
          <w:szCs w:val="24"/>
          <w:lang w:val="es-ES" w:eastAsia="es-ES"/>
          <w14:ligatures w14:val="none"/>
        </w:rPr>
        <w:t>El papel de los incentivos</w:t>
      </w:r>
    </w:p>
    <w:p w14:paraId="1CEB5173" w14:textId="77777777" w:rsidR="00496F8B" w:rsidRPr="00F25895" w:rsidRDefault="00496F8B"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42F14AF1" w14:textId="003EB1BF"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Los incentivos juegan un papel crucial en superar estas barreras por varias razones:</w:t>
      </w:r>
    </w:p>
    <w:p w14:paraId="3DD4C682"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6C8107EB" w14:textId="77777777" w:rsidR="002E4D55" w:rsidRPr="00F25895" w:rsidRDefault="00235412" w:rsidP="00235412">
      <w:pPr>
        <w:pStyle w:val="Prrafodelista"/>
        <w:numPr>
          <w:ilvl w:val="0"/>
          <w:numId w:val="21"/>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Reducción del Costo Inicial: Los incentivos financieros, como subvenciones o créditos fiscales, pueden ayudar a mitigar el alto costo inicial de la instalación de electrolineras. Esto hace que la inversión sea más atractiva para inversores privados y entidades gubernamentales, acelerando así la expansión de la infraestructura de carga.</w:t>
      </w:r>
    </w:p>
    <w:p w14:paraId="4F252057" w14:textId="77777777" w:rsidR="002E4D55" w:rsidRPr="00F25895" w:rsidRDefault="002E4D55" w:rsidP="002E4D55">
      <w:pPr>
        <w:pStyle w:val="Prrafodelista"/>
        <w:spacing w:after="0" w:line="240" w:lineRule="auto"/>
        <w:jc w:val="both"/>
        <w:rPr>
          <w:rFonts w:ascii="Arial" w:eastAsia="Times New Roman" w:hAnsi="Arial" w:cs="Arial"/>
          <w:color w:val="000000" w:themeColor="text1"/>
          <w:kern w:val="0"/>
          <w:sz w:val="24"/>
          <w:szCs w:val="24"/>
          <w:lang w:val="es-ES" w:eastAsia="es-ES"/>
          <w14:ligatures w14:val="none"/>
        </w:rPr>
      </w:pPr>
    </w:p>
    <w:p w14:paraId="2242E0E4" w14:textId="77777777" w:rsidR="002E4D55" w:rsidRPr="00F25895" w:rsidRDefault="00235412" w:rsidP="00235412">
      <w:pPr>
        <w:pStyle w:val="Prrafodelista"/>
        <w:numPr>
          <w:ilvl w:val="0"/>
          <w:numId w:val="21"/>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lastRenderedPageBreak/>
        <w:t>Inversión en Infraestructura Eléctrica: Los incentivos pueden dirigirse específicamente a la mejora y expansión de la infraestructura eléctrica necesaria para soportar más electrolineras. Esto incluye la actualización de subestaciones eléctricas y líneas de distribución para satisfacer la demanda de carga eléctrica adicional.</w:t>
      </w:r>
    </w:p>
    <w:p w14:paraId="7ABA4CFD" w14:textId="77777777" w:rsidR="002E4D55" w:rsidRPr="00F25895" w:rsidRDefault="002E4D55" w:rsidP="002E4D55">
      <w:pPr>
        <w:pStyle w:val="Prrafodelista"/>
        <w:rPr>
          <w:rFonts w:ascii="Arial" w:eastAsia="Times New Roman" w:hAnsi="Arial" w:cs="Arial"/>
          <w:color w:val="000000" w:themeColor="text1"/>
          <w:kern w:val="0"/>
          <w:sz w:val="24"/>
          <w:szCs w:val="24"/>
          <w:lang w:val="es-ES" w:eastAsia="es-ES"/>
          <w14:ligatures w14:val="none"/>
        </w:rPr>
      </w:pPr>
    </w:p>
    <w:p w14:paraId="4C5CCA3C" w14:textId="054E2735" w:rsidR="00235412" w:rsidRPr="00F25895" w:rsidRDefault="00235412" w:rsidP="00235412">
      <w:pPr>
        <w:pStyle w:val="Prrafodelista"/>
        <w:numPr>
          <w:ilvl w:val="0"/>
          <w:numId w:val="21"/>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Promoción de Estándares de Carga: Los incentivos pueden también fomentar la adopción de estándares de carga universales, incentivando a los fabricantes de vehículos y proveedores de tecnología de carga a adherirse a normativas comunes que faciliten la interoperabilidad y la experiencia de usuario consistente.</w:t>
      </w:r>
    </w:p>
    <w:p w14:paraId="1EC73C09" w14:textId="77777777" w:rsidR="00235412" w:rsidRPr="00F25895" w:rsidRDefault="00235412"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p>
    <w:p w14:paraId="1C75281C" w14:textId="4172302A" w:rsidR="00235412" w:rsidRPr="00F25895" w:rsidRDefault="00387F79" w:rsidP="00235412">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L</w:t>
      </w:r>
      <w:r w:rsidR="00235412" w:rsidRPr="00F25895">
        <w:rPr>
          <w:rFonts w:ascii="Arial" w:eastAsia="Times New Roman" w:hAnsi="Arial" w:cs="Arial"/>
          <w:color w:val="000000" w:themeColor="text1"/>
          <w:kern w:val="0"/>
          <w:sz w:val="24"/>
          <w:szCs w:val="24"/>
          <w:lang w:val="es-ES" w:eastAsia="es-ES"/>
          <w14:ligatures w14:val="none"/>
        </w:rPr>
        <w:t xml:space="preserve">os incentivos </w:t>
      </w:r>
      <w:r w:rsidR="00941810" w:rsidRPr="00F25895">
        <w:rPr>
          <w:rFonts w:ascii="Arial" w:eastAsia="Times New Roman" w:hAnsi="Arial" w:cs="Arial"/>
          <w:color w:val="000000" w:themeColor="text1"/>
          <w:kern w:val="0"/>
          <w:sz w:val="24"/>
          <w:szCs w:val="24"/>
          <w:lang w:val="es-ES" w:eastAsia="es-ES"/>
          <w14:ligatures w14:val="none"/>
        </w:rPr>
        <w:t xml:space="preserve">terminan siendo </w:t>
      </w:r>
      <w:r w:rsidR="00235412" w:rsidRPr="00F25895">
        <w:rPr>
          <w:rFonts w:ascii="Arial" w:eastAsia="Times New Roman" w:hAnsi="Arial" w:cs="Arial"/>
          <w:color w:val="000000" w:themeColor="text1"/>
          <w:kern w:val="0"/>
          <w:sz w:val="24"/>
          <w:szCs w:val="24"/>
          <w:lang w:val="es-ES" w:eastAsia="es-ES"/>
          <w14:ligatures w14:val="none"/>
        </w:rPr>
        <w:t xml:space="preserve">herramientas efectivas para superar las barreras económicas, técnicas y regulatorias que actualmente limitan la expansión de las electrolineras. Al hacerlo, no solo se acelera la adopción de vehículos eléctricos y se reduce la dependencia de combustibles fósiles, sino que también se promueve una infraestructura de carga más robusta y accesible para todos los usuarios de </w:t>
      </w:r>
      <w:r w:rsidR="00FA631C" w:rsidRPr="00F25895">
        <w:rPr>
          <w:rFonts w:ascii="Arial" w:eastAsia="Times New Roman" w:hAnsi="Arial" w:cs="Arial"/>
          <w:color w:val="000000" w:themeColor="text1"/>
          <w:kern w:val="0"/>
          <w:sz w:val="24"/>
          <w:szCs w:val="24"/>
          <w:lang w:val="es-ES" w:eastAsia="es-ES"/>
          <w14:ligatures w14:val="none"/>
        </w:rPr>
        <w:t>vehículos eléctricos</w:t>
      </w:r>
    </w:p>
    <w:p w14:paraId="24F5BB00" w14:textId="77777777" w:rsidR="00235412" w:rsidRPr="00F25895" w:rsidRDefault="00235412" w:rsidP="00D94F30">
      <w:pPr>
        <w:spacing w:after="0" w:line="240" w:lineRule="auto"/>
        <w:jc w:val="both"/>
        <w:rPr>
          <w:rFonts w:ascii="Arial" w:eastAsia="Times New Roman" w:hAnsi="Arial" w:cs="Arial"/>
          <w:b/>
          <w:bCs/>
          <w:color w:val="000000" w:themeColor="text1"/>
          <w:kern w:val="0"/>
          <w:sz w:val="24"/>
          <w:szCs w:val="24"/>
          <w:lang w:val="es-ES" w:eastAsia="es-ES"/>
          <w14:ligatures w14:val="none"/>
        </w:rPr>
      </w:pPr>
    </w:p>
    <w:p w14:paraId="43CFF03A" w14:textId="7E6EB1E4" w:rsidR="00622F3E" w:rsidRDefault="00D011A1"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Para soportar el presente proyecto existe un robusto antecedente normativo que permite </w:t>
      </w:r>
      <w:r w:rsidR="007B4641">
        <w:rPr>
          <w:rFonts w:ascii="Arial" w:eastAsia="Times New Roman" w:hAnsi="Arial" w:cs="Arial"/>
          <w:color w:val="000000" w:themeColor="text1"/>
          <w:kern w:val="0"/>
          <w:sz w:val="24"/>
          <w:szCs w:val="24"/>
          <w:lang w:val="es-ES" w:eastAsia="es-ES"/>
          <w14:ligatures w14:val="none"/>
        </w:rPr>
        <w:t xml:space="preserve">implementar lo acá propuesto con recursos aportados por el gobierno nacional. </w:t>
      </w:r>
    </w:p>
    <w:p w14:paraId="15BF6475" w14:textId="49FC8AE6" w:rsidR="00223890" w:rsidRDefault="00223890"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713B04FA" w14:textId="2A6EB1B9" w:rsidR="00223890" w:rsidRDefault="00223890"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Además, la normativa existente también promueve la coordinación entre entidades territoriales, como el Distrito, </w:t>
      </w:r>
      <w:r w:rsidR="00051CCC">
        <w:rPr>
          <w:rFonts w:ascii="Arial" w:eastAsia="Times New Roman" w:hAnsi="Arial" w:cs="Arial"/>
          <w:color w:val="000000" w:themeColor="text1"/>
          <w:kern w:val="0"/>
          <w:sz w:val="24"/>
          <w:szCs w:val="24"/>
          <w:lang w:val="es-ES" w:eastAsia="es-ES"/>
          <w14:ligatures w14:val="none"/>
        </w:rPr>
        <w:t xml:space="preserve">y entidades del gobierno nacional encargadas de </w:t>
      </w:r>
      <w:r w:rsidR="00A41A6A">
        <w:rPr>
          <w:rFonts w:ascii="Arial" w:eastAsia="Times New Roman" w:hAnsi="Arial" w:cs="Arial"/>
          <w:color w:val="000000" w:themeColor="text1"/>
          <w:kern w:val="0"/>
          <w:sz w:val="24"/>
          <w:szCs w:val="24"/>
          <w:lang w:val="es-ES" w:eastAsia="es-ES"/>
          <w14:ligatures w14:val="none"/>
        </w:rPr>
        <w:t>implementar</w:t>
      </w:r>
      <w:r w:rsidR="00051CCC">
        <w:rPr>
          <w:rFonts w:ascii="Arial" w:eastAsia="Times New Roman" w:hAnsi="Arial" w:cs="Arial"/>
          <w:color w:val="000000" w:themeColor="text1"/>
          <w:kern w:val="0"/>
          <w:sz w:val="24"/>
          <w:szCs w:val="24"/>
          <w:lang w:val="es-ES" w:eastAsia="es-ES"/>
          <w14:ligatures w14:val="none"/>
        </w:rPr>
        <w:t xml:space="preserve"> los cambios que requiere el país </w:t>
      </w:r>
      <w:r w:rsidR="00A41A6A">
        <w:rPr>
          <w:rFonts w:ascii="Arial" w:eastAsia="Times New Roman" w:hAnsi="Arial" w:cs="Arial"/>
          <w:color w:val="000000" w:themeColor="text1"/>
          <w:kern w:val="0"/>
          <w:sz w:val="24"/>
          <w:szCs w:val="24"/>
          <w:lang w:val="es-ES" w:eastAsia="es-ES"/>
          <w14:ligatures w14:val="none"/>
        </w:rPr>
        <w:t xml:space="preserve">con la finalidad de </w:t>
      </w:r>
      <w:r w:rsidR="00051CCC">
        <w:rPr>
          <w:rFonts w:ascii="Arial" w:eastAsia="Times New Roman" w:hAnsi="Arial" w:cs="Arial"/>
          <w:color w:val="000000" w:themeColor="text1"/>
          <w:kern w:val="0"/>
          <w:sz w:val="24"/>
          <w:szCs w:val="24"/>
          <w:lang w:val="es-ES" w:eastAsia="es-ES"/>
          <w14:ligatures w14:val="none"/>
        </w:rPr>
        <w:t xml:space="preserve">implementar </w:t>
      </w:r>
      <w:r w:rsidR="00426671">
        <w:rPr>
          <w:rFonts w:ascii="Arial" w:eastAsia="Times New Roman" w:hAnsi="Arial" w:cs="Arial"/>
          <w:color w:val="000000" w:themeColor="text1"/>
          <w:kern w:val="0"/>
          <w:sz w:val="24"/>
          <w:szCs w:val="24"/>
          <w:lang w:val="es-ES" w:eastAsia="es-ES"/>
          <w14:ligatures w14:val="none"/>
        </w:rPr>
        <w:t xml:space="preserve">medidas contra el cambio climático, la conservación del medio ambiente y la adopción de tecnologías más limpias. </w:t>
      </w:r>
    </w:p>
    <w:p w14:paraId="61F02438" w14:textId="0FD74D66" w:rsidR="00D011A1" w:rsidRDefault="00D011A1"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AF4F14F" w14:textId="77777777" w:rsidR="004C6E9E" w:rsidRPr="004C6E9E" w:rsidRDefault="004C6E9E" w:rsidP="004C6E9E">
      <w:pPr>
        <w:spacing w:after="0" w:line="240" w:lineRule="auto"/>
        <w:jc w:val="both"/>
        <w:rPr>
          <w:rFonts w:ascii="Arial" w:eastAsia="Times New Roman" w:hAnsi="Arial" w:cs="Arial"/>
          <w:b/>
          <w:color w:val="000000" w:themeColor="text1"/>
          <w:kern w:val="0"/>
          <w:sz w:val="24"/>
          <w:szCs w:val="24"/>
          <w:lang w:val="es-ES" w:eastAsia="es-ES"/>
          <w14:ligatures w14:val="none"/>
        </w:rPr>
      </w:pPr>
      <w:r w:rsidRPr="004C6E9E">
        <w:rPr>
          <w:rFonts w:ascii="Arial" w:eastAsia="Times New Roman" w:hAnsi="Arial" w:cs="Arial"/>
          <w:b/>
          <w:color w:val="000000" w:themeColor="text1"/>
          <w:kern w:val="0"/>
          <w:sz w:val="24"/>
          <w:szCs w:val="24"/>
          <w:lang w:val="es-ES" w:eastAsia="es-ES"/>
          <w14:ligatures w14:val="none"/>
        </w:rPr>
        <w:t>III.</w:t>
      </w:r>
      <w:r w:rsidRPr="004C6E9E">
        <w:rPr>
          <w:rFonts w:ascii="Arial" w:eastAsia="Times New Roman" w:hAnsi="Arial" w:cs="Arial"/>
          <w:b/>
          <w:color w:val="000000" w:themeColor="text1"/>
          <w:kern w:val="0"/>
          <w:sz w:val="24"/>
          <w:szCs w:val="24"/>
          <w:lang w:val="es-ES" w:eastAsia="es-ES"/>
          <w14:ligatures w14:val="none"/>
        </w:rPr>
        <w:tab/>
        <w:t>ANTECEDENTES DEL PROYECTO DE ACUERDO</w:t>
      </w:r>
    </w:p>
    <w:p w14:paraId="61DA45DB" w14:textId="77777777" w:rsidR="004C6E9E" w:rsidRPr="004C6E9E" w:rsidRDefault="004C6E9E" w:rsidP="004C6E9E">
      <w:pPr>
        <w:spacing w:after="0" w:line="240" w:lineRule="auto"/>
        <w:jc w:val="both"/>
        <w:rPr>
          <w:rFonts w:ascii="Arial" w:eastAsia="Times New Roman" w:hAnsi="Arial" w:cs="Arial"/>
          <w:b/>
          <w:color w:val="000000" w:themeColor="text1"/>
          <w:kern w:val="0"/>
          <w:sz w:val="24"/>
          <w:szCs w:val="24"/>
          <w:lang w:val="es-ES" w:eastAsia="es-ES"/>
          <w14:ligatures w14:val="none"/>
        </w:rPr>
      </w:pPr>
    </w:p>
    <w:p w14:paraId="74C75E6F" w14:textId="77777777" w:rsidR="000E3386"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Este proyecto fue</w:t>
      </w:r>
      <w:r w:rsidRPr="004C6E9E">
        <w:rPr>
          <w:rFonts w:ascii="Arial" w:eastAsia="Times New Roman" w:hAnsi="Arial" w:cs="Arial"/>
          <w:color w:val="000000" w:themeColor="text1"/>
          <w:kern w:val="0"/>
          <w:sz w:val="24"/>
          <w:szCs w:val="24"/>
          <w:lang w:val="es-ES" w:eastAsia="es-ES"/>
          <w14:ligatures w14:val="none"/>
        </w:rPr>
        <w:t xml:space="preserve"> presentado </w:t>
      </w:r>
      <w:r w:rsidR="00DF1471">
        <w:rPr>
          <w:rFonts w:ascii="Arial" w:eastAsia="Times New Roman" w:hAnsi="Arial" w:cs="Arial"/>
          <w:color w:val="000000" w:themeColor="text1"/>
          <w:kern w:val="0"/>
          <w:sz w:val="24"/>
          <w:szCs w:val="24"/>
          <w:lang w:val="es-ES" w:eastAsia="es-ES"/>
          <w14:ligatures w14:val="none"/>
        </w:rPr>
        <w:t xml:space="preserve">durante el periodo constitucional 2024 </w:t>
      </w:r>
      <w:r w:rsidR="000E3386">
        <w:rPr>
          <w:rFonts w:ascii="Arial" w:eastAsia="Times New Roman" w:hAnsi="Arial" w:cs="Arial"/>
          <w:color w:val="000000" w:themeColor="text1"/>
          <w:kern w:val="0"/>
          <w:sz w:val="24"/>
          <w:szCs w:val="24"/>
          <w:lang w:val="es-ES" w:eastAsia="es-ES"/>
          <w14:ligatures w14:val="none"/>
        </w:rPr>
        <w:t xml:space="preserve">por la misma autora, siendo identificado como el </w:t>
      </w:r>
      <w:r w:rsidR="000E3386" w:rsidRPr="000E3386">
        <w:rPr>
          <w:rFonts w:ascii="Arial" w:eastAsia="Times New Roman" w:hAnsi="Arial" w:cs="Arial"/>
          <w:color w:val="000000" w:themeColor="text1"/>
          <w:kern w:val="0"/>
          <w:sz w:val="24"/>
          <w:szCs w:val="24"/>
          <w:lang w:val="es-ES" w:eastAsia="es-ES"/>
          <w14:ligatures w14:val="none"/>
        </w:rPr>
        <w:t>Proyecto de Acuerdo No. 704 de 2024</w:t>
      </w:r>
      <w:r w:rsidR="000E3386">
        <w:rPr>
          <w:rFonts w:ascii="Arial" w:eastAsia="Times New Roman" w:hAnsi="Arial" w:cs="Arial"/>
          <w:color w:val="000000" w:themeColor="text1"/>
          <w:kern w:val="0"/>
          <w:sz w:val="24"/>
          <w:szCs w:val="24"/>
          <w:lang w:val="es-ES" w:eastAsia="es-ES"/>
          <w14:ligatures w14:val="none"/>
        </w:rPr>
        <w:t xml:space="preserve"> </w:t>
      </w:r>
      <w:r w:rsidR="000E3386" w:rsidRPr="000E3386">
        <w:rPr>
          <w:rFonts w:ascii="Arial" w:eastAsia="Times New Roman" w:hAnsi="Arial" w:cs="Arial"/>
          <w:i/>
          <w:color w:val="000000" w:themeColor="text1"/>
          <w:kern w:val="0"/>
          <w:sz w:val="24"/>
          <w:szCs w:val="24"/>
          <w:lang w:val="es-ES" w:eastAsia="es-ES"/>
          <w14:ligatures w14:val="none"/>
        </w:rPr>
        <w:t>“POR MEDIO DEL CUAL SE ADOPTAN INCENTIVOS PARA LA CONTRUCCIÓN Y PUESTA EN FUNCIONAMIENTO DE ELECTROLINERAS EN EL DISTRITO CAPITAL”</w:t>
      </w:r>
      <w:r w:rsidR="000E3386">
        <w:rPr>
          <w:rFonts w:ascii="Arial" w:eastAsia="Times New Roman" w:hAnsi="Arial" w:cs="Arial"/>
          <w:color w:val="000000" w:themeColor="text1"/>
          <w:kern w:val="0"/>
          <w:sz w:val="24"/>
          <w:szCs w:val="24"/>
          <w:lang w:val="es-ES" w:eastAsia="es-ES"/>
          <w14:ligatures w14:val="none"/>
        </w:rPr>
        <w:t xml:space="preserve">. </w:t>
      </w:r>
    </w:p>
    <w:p w14:paraId="5BD4A341" w14:textId="77777777" w:rsidR="000E3386" w:rsidRDefault="000E3386"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7FF893E6" w14:textId="10A32378" w:rsidR="004C6E9E" w:rsidRPr="004C6E9E" w:rsidRDefault="000E3386"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Este proyecto de acuerdo </w:t>
      </w:r>
      <w:r w:rsidR="00DF1471">
        <w:rPr>
          <w:rFonts w:ascii="Arial" w:eastAsia="Times New Roman" w:hAnsi="Arial" w:cs="Arial"/>
          <w:color w:val="000000" w:themeColor="text1"/>
          <w:kern w:val="0"/>
          <w:sz w:val="24"/>
          <w:szCs w:val="24"/>
          <w:lang w:val="es-ES" w:eastAsia="es-ES"/>
          <w14:ligatures w14:val="none"/>
        </w:rPr>
        <w:t>no había sido presentado</w:t>
      </w:r>
      <w:r>
        <w:rPr>
          <w:rFonts w:ascii="Arial" w:eastAsia="Times New Roman" w:hAnsi="Arial" w:cs="Arial"/>
          <w:color w:val="000000" w:themeColor="text1"/>
          <w:kern w:val="0"/>
          <w:sz w:val="24"/>
          <w:szCs w:val="24"/>
          <w:lang w:val="es-ES" w:eastAsia="es-ES"/>
          <w14:ligatures w14:val="none"/>
        </w:rPr>
        <w:t xml:space="preserve"> en otro periodo.</w:t>
      </w:r>
    </w:p>
    <w:p w14:paraId="6F066697" w14:textId="0C272B31" w:rsid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0DB6BA74" w14:textId="0AF23EFE" w:rsidR="004C6E9E" w:rsidRDefault="00DF1471"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Así las cosas, </w:t>
      </w:r>
      <w:r w:rsidR="004C6E9E" w:rsidRPr="004C6E9E">
        <w:rPr>
          <w:rFonts w:ascii="Arial" w:eastAsia="Times New Roman" w:hAnsi="Arial" w:cs="Arial"/>
          <w:color w:val="000000" w:themeColor="text1"/>
          <w:kern w:val="0"/>
          <w:sz w:val="24"/>
          <w:szCs w:val="24"/>
          <w:lang w:val="es-ES" w:eastAsia="es-ES"/>
          <w14:ligatures w14:val="none"/>
        </w:rPr>
        <w:t xml:space="preserve">esta es la </w:t>
      </w:r>
      <w:r w:rsidR="004C6E9E">
        <w:rPr>
          <w:rFonts w:ascii="Arial" w:eastAsia="Times New Roman" w:hAnsi="Arial" w:cs="Arial"/>
          <w:color w:val="000000" w:themeColor="text1"/>
          <w:kern w:val="0"/>
          <w:sz w:val="24"/>
          <w:szCs w:val="24"/>
          <w:lang w:val="es-ES" w:eastAsia="es-ES"/>
          <w14:ligatures w14:val="none"/>
        </w:rPr>
        <w:t xml:space="preserve">segunda </w:t>
      </w:r>
      <w:r w:rsidR="004C6E9E" w:rsidRPr="004C6E9E">
        <w:rPr>
          <w:rFonts w:ascii="Arial" w:eastAsia="Times New Roman" w:hAnsi="Arial" w:cs="Arial"/>
          <w:color w:val="000000" w:themeColor="text1"/>
          <w:kern w:val="0"/>
          <w:sz w:val="24"/>
          <w:szCs w:val="24"/>
          <w:lang w:val="es-ES" w:eastAsia="es-ES"/>
          <w14:ligatures w14:val="none"/>
        </w:rPr>
        <w:t>vez que se p</w:t>
      </w:r>
      <w:r>
        <w:rPr>
          <w:rFonts w:ascii="Arial" w:eastAsia="Times New Roman" w:hAnsi="Arial" w:cs="Arial"/>
          <w:color w:val="000000" w:themeColor="text1"/>
          <w:kern w:val="0"/>
          <w:sz w:val="24"/>
          <w:szCs w:val="24"/>
          <w:lang w:val="es-ES" w:eastAsia="es-ES"/>
          <w14:ligatures w14:val="none"/>
        </w:rPr>
        <w:t xml:space="preserve">resenta esta iniciativa ante la </w:t>
      </w:r>
      <w:r w:rsidR="004C6E9E" w:rsidRPr="004C6E9E">
        <w:rPr>
          <w:rFonts w:ascii="Arial" w:eastAsia="Times New Roman" w:hAnsi="Arial" w:cs="Arial"/>
          <w:color w:val="000000" w:themeColor="text1"/>
          <w:kern w:val="0"/>
          <w:sz w:val="24"/>
          <w:szCs w:val="24"/>
          <w:lang w:val="es-ES" w:eastAsia="es-ES"/>
          <w14:ligatures w14:val="none"/>
        </w:rPr>
        <w:t>Corporac</w:t>
      </w:r>
      <w:r>
        <w:rPr>
          <w:rFonts w:ascii="Arial" w:eastAsia="Times New Roman" w:hAnsi="Arial" w:cs="Arial"/>
          <w:color w:val="000000" w:themeColor="text1"/>
          <w:kern w:val="0"/>
          <w:sz w:val="24"/>
          <w:szCs w:val="24"/>
          <w:lang w:val="es-ES" w:eastAsia="es-ES"/>
          <w14:ligatures w14:val="none"/>
        </w:rPr>
        <w:t xml:space="preserve">ión para su trámite. </w:t>
      </w:r>
    </w:p>
    <w:p w14:paraId="04271C3E" w14:textId="6B732B58" w:rsidR="00DF1471" w:rsidRDefault="00DF1471"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C52D158" w14:textId="0E263E61" w:rsidR="00DF1471" w:rsidRPr="00DF1471" w:rsidRDefault="00DF1471"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La primera vez que se presentó </w:t>
      </w:r>
      <w:r w:rsidR="000E3386">
        <w:rPr>
          <w:rFonts w:ascii="Arial" w:eastAsia="Times New Roman" w:hAnsi="Arial" w:cs="Arial"/>
          <w:color w:val="000000" w:themeColor="text1"/>
          <w:kern w:val="0"/>
          <w:sz w:val="24"/>
          <w:szCs w:val="24"/>
          <w:lang w:val="es-ES" w:eastAsia="es-ES"/>
          <w14:ligatures w14:val="none"/>
        </w:rPr>
        <w:t xml:space="preserve">el </w:t>
      </w:r>
      <w:r>
        <w:rPr>
          <w:rFonts w:ascii="Arial" w:eastAsia="Times New Roman" w:hAnsi="Arial" w:cs="Arial"/>
          <w:color w:val="000000" w:themeColor="text1"/>
          <w:kern w:val="0"/>
          <w:sz w:val="24"/>
          <w:szCs w:val="24"/>
          <w:lang w:val="es-ES" w:eastAsia="es-ES"/>
          <w14:ligatures w14:val="none"/>
        </w:rPr>
        <w:t>proyecto</w:t>
      </w:r>
      <w:r w:rsidR="000E3386">
        <w:rPr>
          <w:rFonts w:ascii="Arial" w:eastAsia="Times New Roman" w:hAnsi="Arial" w:cs="Arial"/>
          <w:color w:val="000000" w:themeColor="text1"/>
          <w:kern w:val="0"/>
          <w:sz w:val="24"/>
          <w:szCs w:val="24"/>
          <w:lang w:val="es-ES" w:eastAsia="es-ES"/>
          <w14:ligatures w14:val="none"/>
        </w:rPr>
        <w:t>,</w:t>
      </w:r>
      <w:r>
        <w:rPr>
          <w:rFonts w:ascii="Arial" w:eastAsia="Times New Roman" w:hAnsi="Arial" w:cs="Arial"/>
          <w:color w:val="000000" w:themeColor="text1"/>
          <w:kern w:val="0"/>
          <w:sz w:val="24"/>
          <w:szCs w:val="24"/>
          <w:lang w:val="es-ES" w:eastAsia="es-ES"/>
          <w14:ligatures w14:val="none"/>
        </w:rPr>
        <w:t xml:space="preserve"> obtuvo </w:t>
      </w:r>
      <w:r w:rsidRPr="000E3386">
        <w:rPr>
          <w:rFonts w:ascii="Arial" w:hAnsi="Arial"/>
          <w:b/>
          <w:i/>
          <w:sz w:val="24"/>
        </w:rPr>
        <w:t>“PONENCIA</w:t>
      </w:r>
      <w:r w:rsidRPr="000E3386">
        <w:rPr>
          <w:rFonts w:ascii="Arial" w:hAnsi="Arial"/>
          <w:b/>
          <w:i/>
          <w:spacing w:val="-11"/>
          <w:sz w:val="24"/>
        </w:rPr>
        <w:t xml:space="preserve"> </w:t>
      </w:r>
      <w:r w:rsidRPr="000E3386">
        <w:rPr>
          <w:rFonts w:ascii="Arial" w:hAnsi="Arial"/>
          <w:b/>
          <w:i/>
          <w:sz w:val="24"/>
        </w:rPr>
        <w:t>POSITIVA</w:t>
      </w:r>
      <w:r w:rsidRPr="000E3386">
        <w:rPr>
          <w:rFonts w:ascii="Arial" w:hAnsi="Arial"/>
          <w:b/>
          <w:i/>
          <w:spacing w:val="-11"/>
          <w:sz w:val="24"/>
        </w:rPr>
        <w:t xml:space="preserve"> </w:t>
      </w:r>
      <w:r w:rsidRPr="000E3386">
        <w:rPr>
          <w:rFonts w:ascii="Arial" w:hAnsi="Arial"/>
          <w:b/>
          <w:i/>
          <w:sz w:val="24"/>
        </w:rPr>
        <w:t>CON</w:t>
      </w:r>
      <w:r w:rsidRPr="000E3386">
        <w:rPr>
          <w:rFonts w:ascii="Arial" w:hAnsi="Arial"/>
          <w:b/>
          <w:i/>
          <w:spacing w:val="-6"/>
          <w:sz w:val="24"/>
        </w:rPr>
        <w:t xml:space="preserve"> </w:t>
      </w:r>
      <w:r w:rsidRPr="000E3386">
        <w:rPr>
          <w:rFonts w:ascii="Arial" w:hAnsi="Arial"/>
          <w:b/>
          <w:i/>
          <w:sz w:val="24"/>
        </w:rPr>
        <w:t xml:space="preserve">MODIFICACIONES” </w:t>
      </w:r>
      <w:r>
        <w:rPr>
          <w:rFonts w:ascii="Arial" w:hAnsi="Arial"/>
          <w:sz w:val="24"/>
        </w:rPr>
        <w:t xml:space="preserve">por los honorables concejales ponentes David Hernando Saavedra Murcia (ponente coordinador) y Andrés Darío Onzaga Niño. Los cuales ajustaron el articulado incluyendo valiosos aportes que mejoran la viabilidad del proyecto de acuerdo. </w:t>
      </w:r>
    </w:p>
    <w:p w14:paraId="18407453" w14:textId="147E54D5" w:rsidR="004C6E9E" w:rsidRP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7BBB4860" w14:textId="47B07259" w:rsidR="004C6E9E" w:rsidRPr="004C6E9E" w:rsidRDefault="000E3386"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 xml:space="preserve">Sobre asuntos relacionados con electrolineras e infraestructura pública podemos observar como antecedente </w:t>
      </w:r>
      <w:r w:rsidR="00760719">
        <w:rPr>
          <w:rFonts w:ascii="Arial" w:eastAsia="Times New Roman" w:hAnsi="Arial" w:cs="Arial"/>
          <w:color w:val="000000" w:themeColor="text1"/>
          <w:kern w:val="0"/>
          <w:sz w:val="24"/>
          <w:szCs w:val="24"/>
          <w:lang w:val="es-ES" w:eastAsia="es-ES"/>
          <w14:ligatures w14:val="none"/>
        </w:rPr>
        <w:t xml:space="preserve">adicional </w:t>
      </w:r>
      <w:r>
        <w:rPr>
          <w:rFonts w:ascii="Arial" w:eastAsia="Times New Roman" w:hAnsi="Arial" w:cs="Arial"/>
          <w:color w:val="000000" w:themeColor="text1"/>
          <w:kern w:val="0"/>
          <w:sz w:val="24"/>
          <w:szCs w:val="24"/>
          <w:lang w:val="es-ES" w:eastAsia="es-ES"/>
          <w14:ligatures w14:val="none"/>
        </w:rPr>
        <w:t xml:space="preserve">el </w:t>
      </w:r>
      <w:r w:rsidR="004C6E9E" w:rsidRPr="004C6E9E">
        <w:rPr>
          <w:rFonts w:ascii="Arial" w:eastAsia="Times New Roman" w:hAnsi="Arial" w:cs="Arial"/>
          <w:color w:val="000000" w:themeColor="text1"/>
          <w:kern w:val="0"/>
          <w:sz w:val="24"/>
          <w:szCs w:val="24"/>
          <w:lang w:val="es-ES" w:eastAsia="es-ES"/>
          <w14:ligatures w14:val="none"/>
        </w:rPr>
        <w:t xml:space="preserve">Proyecto de Acuerdo 627 de 2022, </w:t>
      </w:r>
      <w:r>
        <w:rPr>
          <w:rFonts w:ascii="Arial" w:eastAsia="Times New Roman" w:hAnsi="Arial" w:cs="Arial"/>
          <w:color w:val="000000" w:themeColor="text1"/>
          <w:kern w:val="0"/>
          <w:sz w:val="24"/>
          <w:szCs w:val="24"/>
          <w:lang w:val="es-ES" w:eastAsia="es-ES"/>
          <w14:ligatures w14:val="none"/>
        </w:rPr>
        <w:t>el cual establece</w:t>
      </w:r>
      <w:r w:rsidR="004C6E9E" w:rsidRPr="004C6E9E">
        <w:rPr>
          <w:rFonts w:ascii="Arial" w:eastAsia="Times New Roman" w:hAnsi="Arial" w:cs="Arial"/>
          <w:color w:val="000000" w:themeColor="text1"/>
          <w:kern w:val="0"/>
          <w:sz w:val="24"/>
          <w:szCs w:val="24"/>
          <w:lang w:val="es-ES" w:eastAsia="es-ES"/>
          <w14:ligatures w14:val="none"/>
        </w:rPr>
        <w:t xml:space="preserve">: </w:t>
      </w:r>
      <w:r w:rsidR="004C6E9E" w:rsidRPr="000E3386">
        <w:rPr>
          <w:rFonts w:ascii="Arial" w:eastAsia="Times New Roman" w:hAnsi="Arial" w:cs="Arial"/>
          <w:i/>
          <w:color w:val="000000" w:themeColor="text1"/>
          <w:kern w:val="0"/>
          <w:sz w:val="24"/>
          <w:szCs w:val="24"/>
          <w:lang w:val="es-ES" w:eastAsia="es-ES"/>
          <w14:ligatures w14:val="none"/>
        </w:rPr>
        <w:t>“Artículo 8. Infraestructura pública para la recarga de vehículos híbridos y eléctricos. La Secretaría Distrital de Planeación y la Secretaría Distrital de Movilidad, diseñarán una estrategia que permita ampliar la infraestructura de carga y electrolineras públicas, teniendo en consideración la demanda de vehículos de bajas o cero emisiones para que esta sea promovida”</w:t>
      </w:r>
      <w:r w:rsidR="004C6E9E" w:rsidRPr="004C6E9E">
        <w:rPr>
          <w:rFonts w:ascii="Arial" w:eastAsia="Times New Roman" w:hAnsi="Arial" w:cs="Arial"/>
          <w:color w:val="000000" w:themeColor="text1"/>
          <w:kern w:val="0"/>
          <w:sz w:val="24"/>
          <w:szCs w:val="24"/>
          <w:lang w:val="es-ES" w:eastAsia="es-ES"/>
          <w14:ligatures w14:val="none"/>
        </w:rPr>
        <w:t>.</w:t>
      </w:r>
    </w:p>
    <w:p w14:paraId="5AD47BDE" w14:textId="77777777" w:rsidR="004C6E9E" w:rsidRP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24A0CA31" w14:textId="65F60375" w:rsidR="004C6E9E" w:rsidRP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sidRPr="004C6E9E">
        <w:rPr>
          <w:rFonts w:ascii="Arial" w:eastAsia="Times New Roman" w:hAnsi="Arial" w:cs="Arial"/>
          <w:color w:val="000000" w:themeColor="text1"/>
          <w:kern w:val="0"/>
          <w:sz w:val="24"/>
          <w:szCs w:val="24"/>
          <w:lang w:val="es-ES" w:eastAsia="es-ES"/>
          <w14:ligatures w14:val="none"/>
        </w:rPr>
        <w:t>Este último proyecto de Acuerdo había sido pre</w:t>
      </w:r>
      <w:r>
        <w:rPr>
          <w:rFonts w:ascii="Arial" w:eastAsia="Times New Roman" w:hAnsi="Arial" w:cs="Arial"/>
          <w:color w:val="000000" w:themeColor="text1"/>
          <w:kern w:val="0"/>
          <w:sz w:val="24"/>
          <w:szCs w:val="24"/>
          <w:lang w:val="es-ES" w:eastAsia="es-ES"/>
          <w14:ligatures w14:val="none"/>
        </w:rPr>
        <w:t>viamente presentado con los si</w:t>
      </w:r>
      <w:r w:rsidRPr="004C6E9E">
        <w:rPr>
          <w:rFonts w:ascii="Arial" w:eastAsia="Times New Roman" w:hAnsi="Arial" w:cs="Arial"/>
          <w:color w:val="000000" w:themeColor="text1"/>
          <w:kern w:val="0"/>
          <w:sz w:val="24"/>
          <w:szCs w:val="24"/>
          <w:lang w:val="es-ES" w:eastAsia="es-ES"/>
          <w14:ligatures w14:val="none"/>
        </w:rPr>
        <w:t>guientes números asignados:</w:t>
      </w:r>
    </w:p>
    <w:p w14:paraId="47798BC6" w14:textId="77777777" w:rsidR="004C6E9E" w:rsidRP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CC45883" w14:textId="77777777" w:rsid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sidRPr="004C6E9E">
        <w:rPr>
          <w:rFonts w:ascii="Arial" w:eastAsia="Times New Roman" w:hAnsi="Arial" w:cs="Arial"/>
          <w:color w:val="000000" w:themeColor="text1"/>
          <w:kern w:val="0"/>
          <w:sz w:val="24"/>
          <w:szCs w:val="24"/>
          <w:lang w:val="es-ES" w:eastAsia="es-ES"/>
          <w14:ligatures w14:val="none"/>
        </w:rPr>
        <w:t xml:space="preserve">Proyecto de Acuerdo No. 394 de 2021 </w:t>
      </w:r>
    </w:p>
    <w:p w14:paraId="1CDCA2A9" w14:textId="77777777" w:rsid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sidRPr="004C6E9E">
        <w:rPr>
          <w:rFonts w:ascii="Arial" w:eastAsia="Times New Roman" w:hAnsi="Arial" w:cs="Arial"/>
          <w:color w:val="000000" w:themeColor="text1"/>
          <w:kern w:val="0"/>
          <w:sz w:val="24"/>
          <w:szCs w:val="24"/>
          <w:lang w:val="es-ES" w:eastAsia="es-ES"/>
          <w14:ligatures w14:val="none"/>
        </w:rPr>
        <w:t xml:space="preserve">Proyecto de Acuerdo No. 061 de 2022 </w:t>
      </w:r>
    </w:p>
    <w:p w14:paraId="080AF8F0" w14:textId="77777777" w:rsid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sidRPr="004C6E9E">
        <w:rPr>
          <w:rFonts w:ascii="Arial" w:eastAsia="Times New Roman" w:hAnsi="Arial" w:cs="Arial"/>
          <w:color w:val="000000" w:themeColor="text1"/>
          <w:kern w:val="0"/>
          <w:sz w:val="24"/>
          <w:szCs w:val="24"/>
          <w:lang w:val="es-ES" w:eastAsia="es-ES"/>
          <w14:ligatures w14:val="none"/>
        </w:rPr>
        <w:t xml:space="preserve">Proyecto de Acuerdo No. 155 de 2022 </w:t>
      </w:r>
    </w:p>
    <w:p w14:paraId="41BD9503" w14:textId="5758E30B" w:rsidR="004C6E9E" w:rsidRPr="004C6E9E" w:rsidRDefault="004C6E9E" w:rsidP="004C6E9E">
      <w:pPr>
        <w:spacing w:after="0" w:line="240" w:lineRule="auto"/>
        <w:jc w:val="both"/>
        <w:rPr>
          <w:rFonts w:ascii="Arial" w:eastAsia="Times New Roman" w:hAnsi="Arial" w:cs="Arial"/>
          <w:color w:val="000000" w:themeColor="text1"/>
          <w:kern w:val="0"/>
          <w:sz w:val="24"/>
          <w:szCs w:val="24"/>
          <w:lang w:val="es-ES" w:eastAsia="es-ES"/>
          <w14:ligatures w14:val="none"/>
        </w:rPr>
      </w:pPr>
      <w:r w:rsidRPr="004C6E9E">
        <w:rPr>
          <w:rFonts w:ascii="Arial" w:eastAsia="Times New Roman" w:hAnsi="Arial" w:cs="Arial"/>
          <w:color w:val="000000" w:themeColor="text1"/>
          <w:kern w:val="0"/>
          <w:sz w:val="24"/>
          <w:szCs w:val="24"/>
          <w:lang w:val="es-ES" w:eastAsia="es-ES"/>
          <w14:ligatures w14:val="none"/>
        </w:rPr>
        <w:t>Proyecto de Acuerdo No. 309 de 2022</w:t>
      </w:r>
    </w:p>
    <w:p w14:paraId="277B9CE5" w14:textId="77777777" w:rsidR="004C6E9E" w:rsidRPr="00F25895" w:rsidRDefault="004C6E9E" w:rsidP="00AE434F">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8784391" w14:textId="574C24F0" w:rsidR="00A003B5" w:rsidRPr="00F25895" w:rsidRDefault="00A003B5" w:rsidP="00621C9B">
      <w:pPr>
        <w:pStyle w:val="Prrafodelista"/>
        <w:numPr>
          <w:ilvl w:val="0"/>
          <w:numId w:val="12"/>
        </w:num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b/>
          <w:color w:val="000000" w:themeColor="text1"/>
          <w:kern w:val="0"/>
          <w:sz w:val="24"/>
          <w:szCs w:val="24"/>
          <w:lang w:val="es-ES" w:eastAsia="es-ES"/>
          <w14:ligatures w14:val="none"/>
        </w:rPr>
        <w:t>COMPETENCIA DEL CONCEJO DE BOGOT</w:t>
      </w:r>
      <w:r w:rsidR="000F0CE2">
        <w:rPr>
          <w:rFonts w:ascii="Arial" w:eastAsia="Times New Roman" w:hAnsi="Arial" w:cs="Arial"/>
          <w:b/>
          <w:color w:val="000000" w:themeColor="text1"/>
          <w:kern w:val="0"/>
          <w:sz w:val="24"/>
          <w:szCs w:val="24"/>
          <w:lang w:val="es-ES" w:eastAsia="es-ES"/>
          <w14:ligatures w14:val="none"/>
        </w:rPr>
        <w:t>Á</w:t>
      </w:r>
    </w:p>
    <w:p w14:paraId="78C4F328" w14:textId="77777777" w:rsidR="00A003B5" w:rsidRPr="00F25895" w:rsidRDefault="00A003B5" w:rsidP="00A003B5">
      <w:pPr>
        <w:spacing w:after="0" w:line="240" w:lineRule="auto"/>
        <w:jc w:val="both"/>
        <w:rPr>
          <w:rFonts w:ascii="Arial" w:eastAsia="Times New Roman" w:hAnsi="Arial" w:cs="Arial"/>
          <w:color w:val="000000" w:themeColor="text1"/>
          <w:kern w:val="0"/>
          <w:sz w:val="24"/>
          <w:szCs w:val="24"/>
          <w:lang w:val="es-ES" w:eastAsia="es-ES"/>
          <w14:ligatures w14:val="none"/>
        </w:rPr>
      </w:pPr>
    </w:p>
    <w:p w14:paraId="3378B221" w14:textId="58091BC2" w:rsidR="004C6E9E" w:rsidRPr="000E3386" w:rsidRDefault="00A003B5" w:rsidP="000E3386">
      <w:pPr>
        <w:spacing w:after="0" w:line="240" w:lineRule="auto"/>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 xml:space="preserve">El Concejo de Bogotá es competente para estudiar y aprobar o improbar el </w:t>
      </w:r>
      <w:r w:rsidR="00657DDB" w:rsidRPr="00F25895">
        <w:rPr>
          <w:rFonts w:ascii="Arial" w:eastAsia="Times New Roman" w:hAnsi="Arial" w:cs="Arial"/>
          <w:color w:val="000000" w:themeColor="text1"/>
          <w:kern w:val="0"/>
          <w:sz w:val="24"/>
          <w:szCs w:val="24"/>
          <w:lang w:val="es-ES" w:eastAsia="es-ES"/>
          <w14:ligatures w14:val="none"/>
        </w:rPr>
        <w:t>presente proyecto</w:t>
      </w:r>
      <w:r w:rsidRPr="00F25895">
        <w:rPr>
          <w:rFonts w:ascii="Arial" w:eastAsia="Times New Roman" w:hAnsi="Arial" w:cs="Arial"/>
          <w:color w:val="000000" w:themeColor="text1"/>
          <w:kern w:val="0"/>
          <w:sz w:val="24"/>
          <w:szCs w:val="24"/>
          <w:lang w:val="es-ES" w:eastAsia="es-ES"/>
          <w14:ligatures w14:val="none"/>
        </w:rPr>
        <w:t xml:space="preserve"> de acuerdo en virtud de lo establecido en el Artículo 12 del Decreto </w:t>
      </w:r>
      <w:r w:rsidR="00105DFB" w:rsidRPr="00F25895">
        <w:rPr>
          <w:rFonts w:ascii="Arial" w:eastAsia="Times New Roman" w:hAnsi="Arial" w:cs="Arial"/>
          <w:color w:val="000000" w:themeColor="text1"/>
          <w:kern w:val="0"/>
          <w:sz w:val="24"/>
          <w:szCs w:val="24"/>
          <w:lang w:val="es-ES" w:eastAsia="es-ES"/>
          <w14:ligatures w14:val="none"/>
        </w:rPr>
        <w:t>ley 1421</w:t>
      </w:r>
      <w:r w:rsidRPr="00F25895">
        <w:rPr>
          <w:rFonts w:ascii="Arial" w:eastAsia="Times New Roman" w:hAnsi="Arial" w:cs="Arial"/>
          <w:color w:val="000000" w:themeColor="text1"/>
          <w:kern w:val="0"/>
          <w:sz w:val="24"/>
          <w:szCs w:val="24"/>
          <w:lang w:val="es-ES" w:eastAsia="es-ES"/>
          <w14:ligatures w14:val="none"/>
        </w:rPr>
        <w:t xml:space="preserve"> de 1993, principalmente en el numeral 1 que faculta al a Corporación </w:t>
      </w:r>
      <w:r w:rsidR="00105DFB" w:rsidRPr="00F25895">
        <w:rPr>
          <w:rFonts w:ascii="Arial" w:eastAsia="Times New Roman" w:hAnsi="Arial" w:cs="Arial"/>
          <w:color w:val="000000" w:themeColor="text1"/>
          <w:kern w:val="0"/>
          <w:sz w:val="24"/>
          <w:szCs w:val="24"/>
          <w:lang w:val="es-ES" w:eastAsia="es-ES"/>
          <w14:ligatures w14:val="none"/>
        </w:rPr>
        <w:t>para dictar</w:t>
      </w:r>
      <w:r w:rsidRPr="00F25895">
        <w:rPr>
          <w:rFonts w:ascii="Arial" w:eastAsia="Times New Roman" w:hAnsi="Arial" w:cs="Arial"/>
          <w:color w:val="000000" w:themeColor="text1"/>
          <w:kern w:val="0"/>
          <w:sz w:val="24"/>
          <w:szCs w:val="24"/>
          <w:lang w:val="es-ES" w:eastAsia="es-ES"/>
          <w14:ligatures w14:val="none"/>
        </w:rPr>
        <w:t xml:space="preserve"> </w:t>
      </w:r>
      <w:r w:rsidR="00FE2950" w:rsidRPr="00F25895">
        <w:rPr>
          <w:rFonts w:ascii="Arial" w:eastAsia="Times New Roman" w:hAnsi="Arial" w:cs="Arial"/>
          <w:color w:val="000000" w:themeColor="text1"/>
          <w:kern w:val="0"/>
          <w:sz w:val="24"/>
          <w:szCs w:val="24"/>
          <w:lang w:val="es-ES" w:eastAsia="es-ES"/>
          <w14:ligatures w14:val="none"/>
        </w:rPr>
        <w:t>n</w:t>
      </w:r>
      <w:r w:rsidRPr="00F25895">
        <w:rPr>
          <w:rFonts w:ascii="Arial" w:eastAsia="Times New Roman" w:hAnsi="Arial" w:cs="Arial"/>
          <w:color w:val="000000" w:themeColor="text1"/>
          <w:kern w:val="0"/>
          <w:sz w:val="24"/>
          <w:szCs w:val="24"/>
          <w:lang w:val="es-ES" w:eastAsia="es-ES"/>
          <w14:ligatures w14:val="none"/>
        </w:rPr>
        <w:t xml:space="preserve">ormas así:  </w:t>
      </w:r>
    </w:p>
    <w:p w14:paraId="45DC1C5D" w14:textId="0D41E19B" w:rsidR="00A003B5" w:rsidRPr="00F25895" w:rsidRDefault="00A003B5" w:rsidP="00A003B5">
      <w:pPr>
        <w:widowControl w:val="0"/>
        <w:pBdr>
          <w:top w:val="nil"/>
          <w:left w:val="nil"/>
          <w:bottom w:val="nil"/>
          <w:right w:val="nil"/>
          <w:between w:val="nil"/>
        </w:pBdr>
        <w:spacing w:before="558" w:after="0" w:line="240" w:lineRule="auto"/>
        <w:ind w:left="721"/>
        <w:jc w:val="both"/>
        <w:rPr>
          <w:rFonts w:ascii="Arial" w:eastAsia="Times New Roman" w:hAnsi="Arial" w:cs="Arial"/>
          <w:b/>
          <w:i/>
          <w:color w:val="000000" w:themeColor="text1"/>
          <w:kern w:val="0"/>
          <w:sz w:val="24"/>
          <w:szCs w:val="24"/>
          <w:lang w:val="es-ES" w:eastAsia="es-ES"/>
          <w14:ligatures w14:val="none"/>
        </w:rPr>
      </w:pPr>
      <w:r w:rsidRPr="00F25895">
        <w:rPr>
          <w:rFonts w:ascii="Arial" w:eastAsia="Times New Roman" w:hAnsi="Arial" w:cs="Arial"/>
          <w:b/>
          <w:i/>
          <w:color w:val="000000" w:themeColor="text1"/>
          <w:kern w:val="0"/>
          <w:sz w:val="24"/>
          <w:szCs w:val="24"/>
          <w:lang w:val="es-ES" w:eastAsia="es-ES"/>
          <w14:ligatures w14:val="none"/>
        </w:rPr>
        <w:t xml:space="preserve">DECRETO LEY 1421 de 1993 “Estatuto Orgánico de Bogotá”.  </w:t>
      </w:r>
    </w:p>
    <w:p w14:paraId="2838E9DD" w14:textId="1E2DE3D2" w:rsidR="00A003B5" w:rsidRPr="00F25895" w:rsidRDefault="00A003B5" w:rsidP="00A003B5">
      <w:pPr>
        <w:widowControl w:val="0"/>
        <w:pBdr>
          <w:top w:val="nil"/>
          <w:left w:val="nil"/>
          <w:bottom w:val="nil"/>
          <w:right w:val="nil"/>
          <w:between w:val="nil"/>
        </w:pBdr>
        <w:spacing w:before="269" w:after="0" w:line="230" w:lineRule="auto"/>
        <w:ind w:left="717" w:right="74" w:hanging="1"/>
        <w:jc w:val="both"/>
        <w:rPr>
          <w:rFonts w:ascii="Arial" w:eastAsia="Times New Roman" w:hAnsi="Arial" w:cs="Arial"/>
          <w:i/>
          <w:color w:val="000000" w:themeColor="text1"/>
          <w:kern w:val="0"/>
          <w:sz w:val="24"/>
          <w:szCs w:val="24"/>
          <w:lang w:val="es-ES" w:eastAsia="es-ES"/>
          <w14:ligatures w14:val="none"/>
        </w:rPr>
      </w:pPr>
      <w:r w:rsidRPr="00F25895">
        <w:rPr>
          <w:rFonts w:ascii="Arial" w:eastAsia="Times New Roman" w:hAnsi="Arial" w:cs="Arial"/>
          <w:b/>
          <w:i/>
          <w:color w:val="000000" w:themeColor="text1"/>
          <w:kern w:val="0"/>
          <w:sz w:val="24"/>
          <w:szCs w:val="24"/>
          <w:lang w:val="es-ES" w:eastAsia="es-ES"/>
          <w14:ligatures w14:val="none"/>
        </w:rPr>
        <w:t xml:space="preserve">Art. 12. </w:t>
      </w:r>
      <w:r w:rsidRPr="00F25895">
        <w:rPr>
          <w:rFonts w:ascii="Arial" w:eastAsia="Times New Roman" w:hAnsi="Arial" w:cs="Arial"/>
          <w:i/>
          <w:color w:val="000000" w:themeColor="text1"/>
          <w:kern w:val="0"/>
          <w:sz w:val="24"/>
          <w:szCs w:val="24"/>
          <w:lang w:val="es-ES" w:eastAsia="es-ES"/>
          <w14:ligatures w14:val="none"/>
        </w:rPr>
        <w:t xml:space="preserve">Atribuciones. Corresponde al Concejo Distrital, de conformidad </w:t>
      </w:r>
      <w:r w:rsidR="00105DFB" w:rsidRPr="00F25895">
        <w:rPr>
          <w:rFonts w:ascii="Arial" w:eastAsia="Times New Roman" w:hAnsi="Arial" w:cs="Arial"/>
          <w:i/>
          <w:color w:val="000000" w:themeColor="text1"/>
          <w:kern w:val="0"/>
          <w:sz w:val="24"/>
          <w:szCs w:val="24"/>
          <w:lang w:val="es-ES" w:eastAsia="es-ES"/>
          <w14:ligatures w14:val="none"/>
        </w:rPr>
        <w:t>con la</w:t>
      </w:r>
      <w:r w:rsidRPr="00F25895">
        <w:rPr>
          <w:rFonts w:ascii="Arial" w:eastAsia="Times New Roman" w:hAnsi="Arial" w:cs="Arial"/>
          <w:i/>
          <w:color w:val="000000" w:themeColor="text1"/>
          <w:kern w:val="0"/>
          <w:sz w:val="24"/>
          <w:szCs w:val="24"/>
          <w:lang w:val="es-ES" w:eastAsia="es-ES"/>
          <w14:ligatures w14:val="none"/>
        </w:rPr>
        <w:t xml:space="preserve"> Constitución y la ley: (…) </w:t>
      </w:r>
    </w:p>
    <w:p w14:paraId="2A70811A" w14:textId="3111E083" w:rsidR="00A003B5" w:rsidRPr="00F25895" w:rsidRDefault="00A003B5" w:rsidP="00A003B5">
      <w:pPr>
        <w:widowControl w:val="0"/>
        <w:pBdr>
          <w:top w:val="nil"/>
          <w:left w:val="nil"/>
          <w:bottom w:val="nil"/>
          <w:right w:val="nil"/>
          <w:between w:val="nil"/>
        </w:pBdr>
        <w:spacing w:before="281" w:after="0" w:line="229" w:lineRule="auto"/>
        <w:ind w:left="731" w:right="75" w:firstLine="29"/>
        <w:jc w:val="both"/>
        <w:rPr>
          <w:rFonts w:ascii="Arial" w:eastAsia="Times New Roman" w:hAnsi="Arial" w:cs="Arial"/>
          <w:i/>
          <w:color w:val="000000" w:themeColor="text1"/>
          <w:kern w:val="0"/>
          <w:sz w:val="24"/>
          <w:szCs w:val="24"/>
          <w:lang w:val="es-ES" w:eastAsia="es-ES"/>
          <w14:ligatures w14:val="none"/>
        </w:rPr>
      </w:pPr>
      <w:r w:rsidRPr="00F25895">
        <w:rPr>
          <w:rFonts w:ascii="Arial" w:eastAsia="Times New Roman" w:hAnsi="Arial" w:cs="Arial"/>
          <w:i/>
          <w:color w:val="000000" w:themeColor="text1"/>
          <w:kern w:val="0"/>
          <w:sz w:val="24"/>
          <w:szCs w:val="24"/>
          <w:lang w:val="es-ES" w:eastAsia="es-ES"/>
          <w14:ligatures w14:val="none"/>
        </w:rPr>
        <w:t xml:space="preserve">1. Dictar las normas necesarias para garantizar el adecuado </w:t>
      </w:r>
      <w:r w:rsidR="00105DFB" w:rsidRPr="00F25895">
        <w:rPr>
          <w:rFonts w:ascii="Arial" w:eastAsia="Times New Roman" w:hAnsi="Arial" w:cs="Arial"/>
          <w:i/>
          <w:color w:val="000000" w:themeColor="text1"/>
          <w:kern w:val="0"/>
          <w:sz w:val="24"/>
          <w:szCs w:val="24"/>
          <w:lang w:val="es-ES" w:eastAsia="es-ES"/>
          <w14:ligatures w14:val="none"/>
        </w:rPr>
        <w:t>cumplimiento de</w:t>
      </w:r>
      <w:r w:rsidRPr="00F25895">
        <w:rPr>
          <w:rFonts w:ascii="Arial" w:eastAsia="Times New Roman" w:hAnsi="Arial" w:cs="Arial"/>
          <w:i/>
          <w:color w:val="000000" w:themeColor="text1"/>
          <w:kern w:val="0"/>
          <w:sz w:val="24"/>
          <w:szCs w:val="24"/>
          <w:lang w:val="es-ES" w:eastAsia="es-ES"/>
          <w14:ligatures w14:val="none"/>
        </w:rPr>
        <w:t xml:space="preserve"> las funciones y la eficiente prestación de los servicios a cargo del Distrito. </w:t>
      </w:r>
    </w:p>
    <w:p w14:paraId="7A1BF166" w14:textId="02701248" w:rsidR="006301E4" w:rsidRPr="002C6B1C" w:rsidRDefault="00A003B5" w:rsidP="002C6B1C">
      <w:pPr>
        <w:widowControl w:val="0"/>
        <w:pBdr>
          <w:top w:val="nil"/>
          <w:left w:val="nil"/>
          <w:bottom w:val="nil"/>
          <w:right w:val="nil"/>
          <w:between w:val="nil"/>
        </w:pBdr>
        <w:spacing w:before="282" w:after="0" w:line="240" w:lineRule="auto"/>
        <w:ind w:left="731"/>
        <w:jc w:val="both"/>
        <w:rPr>
          <w:rFonts w:ascii="Arial" w:eastAsia="Times New Roman" w:hAnsi="Arial" w:cs="Arial"/>
          <w:i/>
          <w:color w:val="000000" w:themeColor="text1"/>
          <w:kern w:val="0"/>
          <w:sz w:val="24"/>
          <w:szCs w:val="24"/>
          <w:lang w:val="es-ES" w:eastAsia="es-ES"/>
          <w14:ligatures w14:val="none"/>
        </w:rPr>
      </w:pPr>
      <w:r w:rsidRPr="00F25895">
        <w:rPr>
          <w:rFonts w:ascii="Arial" w:eastAsia="Times New Roman" w:hAnsi="Arial" w:cs="Arial"/>
          <w:i/>
          <w:color w:val="000000" w:themeColor="text1"/>
          <w:kern w:val="0"/>
          <w:sz w:val="24"/>
          <w:szCs w:val="24"/>
          <w:lang w:val="es-ES" w:eastAsia="es-ES"/>
          <w14:ligatures w14:val="none"/>
        </w:rPr>
        <w:t>(…)</w:t>
      </w:r>
    </w:p>
    <w:p w14:paraId="739B1B8E" w14:textId="77777777" w:rsidR="006301E4" w:rsidRPr="00F25895" w:rsidRDefault="006301E4" w:rsidP="00A003B5">
      <w:pPr>
        <w:widowControl w:val="0"/>
        <w:pBdr>
          <w:top w:val="nil"/>
          <w:left w:val="nil"/>
          <w:bottom w:val="nil"/>
          <w:right w:val="nil"/>
          <w:between w:val="nil"/>
        </w:pBdr>
        <w:spacing w:after="0" w:line="240" w:lineRule="auto"/>
        <w:jc w:val="both"/>
        <w:rPr>
          <w:rFonts w:ascii="Arial" w:eastAsia="Times New Roman" w:hAnsi="Arial" w:cs="Arial"/>
          <w:color w:val="000000" w:themeColor="text1"/>
          <w:kern w:val="0"/>
          <w:sz w:val="24"/>
          <w:szCs w:val="24"/>
          <w:lang w:val="es-ES" w:eastAsia="es-ES"/>
          <w14:ligatures w14:val="none"/>
        </w:rPr>
      </w:pPr>
    </w:p>
    <w:p w14:paraId="1A81D1D2" w14:textId="77777777" w:rsidR="00A003B5" w:rsidRPr="00F25895" w:rsidRDefault="00A003B5" w:rsidP="00621C9B">
      <w:pPr>
        <w:widowControl w:val="0"/>
        <w:numPr>
          <w:ilvl w:val="0"/>
          <w:numId w:val="12"/>
        </w:numPr>
        <w:pBdr>
          <w:top w:val="nil"/>
          <w:left w:val="nil"/>
          <w:bottom w:val="nil"/>
          <w:right w:val="nil"/>
          <w:between w:val="nil"/>
        </w:pBdr>
        <w:spacing w:after="0" w:line="240" w:lineRule="auto"/>
        <w:jc w:val="both"/>
        <w:rPr>
          <w:rFonts w:ascii="Arial" w:eastAsia="Times New Roman" w:hAnsi="Arial" w:cs="Arial"/>
          <w:b/>
          <w:color w:val="000000" w:themeColor="text1"/>
          <w:kern w:val="0"/>
          <w:sz w:val="24"/>
          <w:szCs w:val="24"/>
          <w:lang w:val="es-ES" w:eastAsia="es-ES"/>
          <w14:ligatures w14:val="none"/>
        </w:rPr>
      </w:pPr>
      <w:r w:rsidRPr="00F25895">
        <w:rPr>
          <w:rFonts w:ascii="Arial" w:eastAsia="Times New Roman" w:hAnsi="Arial" w:cs="Arial"/>
          <w:b/>
          <w:color w:val="000000" w:themeColor="text1"/>
          <w:kern w:val="0"/>
          <w:sz w:val="24"/>
          <w:szCs w:val="24"/>
          <w:lang w:val="es-ES" w:eastAsia="es-ES"/>
          <w14:ligatures w14:val="none"/>
        </w:rPr>
        <w:lastRenderedPageBreak/>
        <w:t xml:space="preserve">IMPACTO FISCAL  </w:t>
      </w:r>
    </w:p>
    <w:p w14:paraId="1ED9B642" w14:textId="77777777" w:rsidR="00A003B5" w:rsidRPr="00F25895" w:rsidRDefault="00A003B5" w:rsidP="00C140D7">
      <w:pPr>
        <w:widowControl w:val="0"/>
        <w:pBdr>
          <w:top w:val="nil"/>
          <w:left w:val="nil"/>
          <w:bottom w:val="nil"/>
          <w:right w:val="nil"/>
          <w:between w:val="nil"/>
        </w:pBdr>
        <w:spacing w:after="0" w:line="240" w:lineRule="auto"/>
        <w:ind w:left="19" w:right="17" w:firstLine="4"/>
        <w:jc w:val="both"/>
        <w:rPr>
          <w:rFonts w:ascii="Arial" w:eastAsia="Times New Roman" w:hAnsi="Arial" w:cs="Arial"/>
          <w:color w:val="000000" w:themeColor="text1"/>
          <w:kern w:val="0"/>
          <w:sz w:val="24"/>
          <w:szCs w:val="24"/>
          <w:lang w:val="es-ES" w:eastAsia="es-ES"/>
          <w14:ligatures w14:val="none"/>
        </w:rPr>
      </w:pPr>
    </w:p>
    <w:p w14:paraId="26EB3D0A" w14:textId="6724D581" w:rsidR="001405F1" w:rsidRDefault="00F66F22" w:rsidP="00F66F22">
      <w:pPr>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De conformidad con lo anterior y en cumplimiento del Artículo 7° de la Ley 819 de 2003, es de precisar que la presente iniciativa</w:t>
      </w:r>
      <w:r w:rsidR="00A27F8C">
        <w:rPr>
          <w:rFonts w:ascii="Arial" w:eastAsia="Times New Roman" w:hAnsi="Arial" w:cs="Arial"/>
          <w:color w:val="000000" w:themeColor="text1"/>
          <w:kern w:val="0"/>
          <w:sz w:val="24"/>
          <w:szCs w:val="24"/>
          <w:lang w:val="es-ES" w:eastAsia="es-ES"/>
          <w14:ligatures w14:val="none"/>
        </w:rPr>
        <w:t xml:space="preserve"> </w:t>
      </w:r>
      <w:r w:rsidR="00FF0D82">
        <w:rPr>
          <w:rFonts w:ascii="Arial" w:eastAsia="Times New Roman" w:hAnsi="Arial" w:cs="Arial"/>
          <w:color w:val="000000" w:themeColor="text1"/>
          <w:kern w:val="0"/>
          <w:sz w:val="24"/>
          <w:szCs w:val="24"/>
          <w:lang w:val="es-ES" w:eastAsia="es-ES"/>
          <w14:ligatures w14:val="none"/>
        </w:rPr>
        <w:t>podría g</w:t>
      </w:r>
      <w:r w:rsidRPr="00F25895">
        <w:rPr>
          <w:rFonts w:ascii="Arial" w:eastAsia="Times New Roman" w:hAnsi="Arial" w:cs="Arial"/>
          <w:color w:val="000000" w:themeColor="text1"/>
          <w:kern w:val="0"/>
          <w:sz w:val="24"/>
          <w:szCs w:val="24"/>
          <w:lang w:val="es-ES" w:eastAsia="es-ES"/>
          <w14:ligatures w14:val="none"/>
        </w:rPr>
        <w:t>enera</w:t>
      </w:r>
      <w:r w:rsidR="00ED0A9B">
        <w:rPr>
          <w:rFonts w:ascii="Arial" w:eastAsia="Times New Roman" w:hAnsi="Arial" w:cs="Arial"/>
          <w:color w:val="000000" w:themeColor="text1"/>
          <w:kern w:val="0"/>
          <w:sz w:val="24"/>
          <w:szCs w:val="24"/>
          <w:lang w:val="es-ES" w:eastAsia="es-ES"/>
          <w14:ligatures w14:val="none"/>
        </w:rPr>
        <w:t>r</w:t>
      </w:r>
      <w:r w:rsidRPr="00F25895">
        <w:rPr>
          <w:rFonts w:ascii="Arial" w:eastAsia="Times New Roman" w:hAnsi="Arial" w:cs="Arial"/>
          <w:color w:val="000000" w:themeColor="text1"/>
          <w:kern w:val="0"/>
          <w:sz w:val="24"/>
          <w:szCs w:val="24"/>
          <w:lang w:val="es-ES" w:eastAsia="es-ES"/>
          <w14:ligatures w14:val="none"/>
        </w:rPr>
        <w:t xml:space="preserve"> impacto fiscal</w:t>
      </w:r>
      <w:r w:rsidR="009A2966">
        <w:rPr>
          <w:rFonts w:ascii="Arial" w:eastAsia="Times New Roman" w:hAnsi="Arial" w:cs="Arial"/>
          <w:color w:val="000000" w:themeColor="text1"/>
          <w:kern w:val="0"/>
          <w:sz w:val="24"/>
          <w:szCs w:val="24"/>
          <w:lang w:val="es-ES" w:eastAsia="es-ES"/>
          <w14:ligatures w14:val="none"/>
        </w:rPr>
        <w:t xml:space="preserve"> para los ingresos del distrito</w:t>
      </w:r>
      <w:r w:rsidR="00FB303A">
        <w:rPr>
          <w:rFonts w:ascii="Arial" w:eastAsia="Times New Roman" w:hAnsi="Arial" w:cs="Arial"/>
          <w:color w:val="000000" w:themeColor="text1"/>
          <w:kern w:val="0"/>
          <w:sz w:val="24"/>
          <w:szCs w:val="24"/>
          <w:lang w:val="es-ES" w:eastAsia="es-ES"/>
          <w14:ligatures w14:val="none"/>
        </w:rPr>
        <w:t>, sobre todo en lo relacionado con el programa de exenciones fiscales</w:t>
      </w:r>
      <w:r w:rsidR="009A2966">
        <w:rPr>
          <w:rFonts w:ascii="Arial" w:eastAsia="Times New Roman" w:hAnsi="Arial" w:cs="Arial"/>
          <w:color w:val="000000" w:themeColor="text1"/>
          <w:kern w:val="0"/>
          <w:sz w:val="24"/>
          <w:szCs w:val="24"/>
          <w:lang w:val="es-ES" w:eastAsia="es-ES"/>
          <w14:ligatures w14:val="none"/>
        </w:rPr>
        <w:t xml:space="preserve">. </w:t>
      </w:r>
      <w:r w:rsidR="00783E11">
        <w:rPr>
          <w:rFonts w:ascii="Arial" w:eastAsia="Times New Roman" w:hAnsi="Arial" w:cs="Arial"/>
          <w:color w:val="000000" w:themeColor="text1"/>
          <w:kern w:val="0"/>
          <w:sz w:val="24"/>
          <w:szCs w:val="24"/>
          <w:lang w:val="es-ES" w:eastAsia="es-ES"/>
          <w14:ligatures w14:val="none"/>
        </w:rPr>
        <w:t xml:space="preserve">Este impacto puede ser subsanable con </w:t>
      </w:r>
      <w:r w:rsidR="001405F1">
        <w:rPr>
          <w:rFonts w:ascii="Arial" w:eastAsia="Times New Roman" w:hAnsi="Arial" w:cs="Arial"/>
          <w:color w:val="000000" w:themeColor="text1"/>
          <w:kern w:val="0"/>
          <w:sz w:val="24"/>
          <w:szCs w:val="24"/>
          <w:lang w:val="es-ES" w:eastAsia="es-ES"/>
          <w14:ligatures w14:val="none"/>
        </w:rPr>
        <w:t xml:space="preserve">las diversas fuentes de </w:t>
      </w:r>
      <w:r w:rsidR="00783E11">
        <w:rPr>
          <w:rFonts w:ascii="Arial" w:eastAsia="Times New Roman" w:hAnsi="Arial" w:cs="Arial"/>
          <w:color w:val="000000" w:themeColor="text1"/>
          <w:kern w:val="0"/>
          <w:sz w:val="24"/>
          <w:szCs w:val="24"/>
          <w:lang w:val="es-ES" w:eastAsia="es-ES"/>
          <w14:ligatures w14:val="none"/>
        </w:rPr>
        <w:t xml:space="preserve">recursos que el </w:t>
      </w:r>
      <w:r w:rsidR="001405F1">
        <w:rPr>
          <w:rFonts w:ascii="Arial" w:eastAsia="Times New Roman" w:hAnsi="Arial" w:cs="Arial"/>
          <w:color w:val="000000" w:themeColor="text1"/>
          <w:kern w:val="0"/>
          <w:sz w:val="24"/>
          <w:szCs w:val="24"/>
          <w:lang w:val="es-ES" w:eastAsia="es-ES"/>
          <w14:ligatures w14:val="none"/>
        </w:rPr>
        <w:t xml:space="preserve">Estado </w:t>
      </w:r>
      <w:r w:rsidR="00783E11">
        <w:rPr>
          <w:rFonts w:ascii="Arial" w:eastAsia="Times New Roman" w:hAnsi="Arial" w:cs="Arial"/>
          <w:color w:val="000000" w:themeColor="text1"/>
          <w:kern w:val="0"/>
          <w:sz w:val="24"/>
          <w:szCs w:val="24"/>
          <w:lang w:val="es-ES" w:eastAsia="es-ES"/>
          <w14:ligatures w14:val="none"/>
        </w:rPr>
        <w:t xml:space="preserve">ha destinado </w:t>
      </w:r>
      <w:r w:rsidR="00A544D3">
        <w:rPr>
          <w:rFonts w:ascii="Arial" w:eastAsia="Times New Roman" w:hAnsi="Arial" w:cs="Arial"/>
          <w:color w:val="000000" w:themeColor="text1"/>
          <w:kern w:val="0"/>
          <w:sz w:val="24"/>
          <w:szCs w:val="24"/>
          <w:lang w:val="es-ES" w:eastAsia="es-ES"/>
          <w14:ligatures w14:val="none"/>
        </w:rPr>
        <w:t xml:space="preserve">para la implementación de las urgentes medidas que se deben implementar para </w:t>
      </w:r>
      <w:r w:rsidR="005E020C">
        <w:rPr>
          <w:rFonts w:ascii="Arial" w:eastAsia="Times New Roman" w:hAnsi="Arial" w:cs="Arial"/>
          <w:color w:val="000000" w:themeColor="text1"/>
          <w:kern w:val="0"/>
          <w:sz w:val="24"/>
          <w:szCs w:val="24"/>
          <w:lang w:val="es-ES" w:eastAsia="es-ES"/>
          <w14:ligatures w14:val="none"/>
        </w:rPr>
        <w:t xml:space="preserve">combatir el cambio climático. </w:t>
      </w:r>
    </w:p>
    <w:p w14:paraId="3292FADF" w14:textId="2CBCAA85" w:rsidR="00F66F22" w:rsidRPr="00F25895" w:rsidRDefault="005E020C" w:rsidP="00F66F22">
      <w:pPr>
        <w:jc w:val="both"/>
        <w:rPr>
          <w:rFonts w:ascii="Arial" w:eastAsia="Times New Roman" w:hAnsi="Arial" w:cs="Arial"/>
          <w:color w:val="000000" w:themeColor="text1"/>
          <w:kern w:val="0"/>
          <w:sz w:val="24"/>
          <w:szCs w:val="24"/>
          <w:lang w:val="es-ES" w:eastAsia="es-ES"/>
          <w14:ligatures w14:val="none"/>
        </w:rPr>
      </w:pPr>
      <w:r>
        <w:rPr>
          <w:rFonts w:ascii="Arial" w:eastAsia="Times New Roman" w:hAnsi="Arial" w:cs="Arial"/>
          <w:color w:val="000000" w:themeColor="text1"/>
          <w:kern w:val="0"/>
          <w:sz w:val="24"/>
          <w:szCs w:val="24"/>
          <w:lang w:val="es-ES" w:eastAsia="es-ES"/>
          <w14:ligatures w14:val="none"/>
        </w:rPr>
        <w:t>Así las cosas</w:t>
      </w:r>
      <w:r w:rsidR="00BF2329">
        <w:rPr>
          <w:rFonts w:ascii="Arial" w:eastAsia="Times New Roman" w:hAnsi="Arial" w:cs="Arial"/>
          <w:color w:val="000000" w:themeColor="text1"/>
          <w:kern w:val="0"/>
          <w:sz w:val="24"/>
          <w:szCs w:val="24"/>
          <w:lang w:val="es-ES" w:eastAsia="es-ES"/>
          <w14:ligatures w14:val="none"/>
        </w:rPr>
        <w:t>,</w:t>
      </w:r>
      <w:r>
        <w:rPr>
          <w:rFonts w:ascii="Arial" w:eastAsia="Times New Roman" w:hAnsi="Arial" w:cs="Arial"/>
          <w:color w:val="000000" w:themeColor="text1"/>
          <w:kern w:val="0"/>
          <w:sz w:val="24"/>
          <w:szCs w:val="24"/>
          <w:lang w:val="es-ES" w:eastAsia="es-ES"/>
          <w14:ligatures w14:val="none"/>
        </w:rPr>
        <w:t xml:space="preserve"> no habría que realizarse una </w:t>
      </w:r>
      <w:r w:rsidR="00F66F22" w:rsidRPr="00F25895">
        <w:rPr>
          <w:rFonts w:ascii="Arial" w:eastAsia="Times New Roman" w:hAnsi="Arial" w:cs="Arial"/>
          <w:color w:val="000000" w:themeColor="text1"/>
          <w:kern w:val="0"/>
          <w:sz w:val="24"/>
          <w:szCs w:val="24"/>
          <w:lang w:val="es-ES" w:eastAsia="es-ES"/>
          <w14:ligatures w14:val="none"/>
        </w:rPr>
        <w:t xml:space="preserve">modificación </w:t>
      </w:r>
      <w:r>
        <w:rPr>
          <w:rFonts w:ascii="Arial" w:eastAsia="Times New Roman" w:hAnsi="Arial" w:cs="Arial"/>
          <w:color w:val="000000" w:themeColor="text1"/>
          <w:kern w:val="0"/>
          <w:sz w:val="24"/>
          <w:szCs w:val="24"/>
          <w:lang w:val="es-ES" w:eastAsia="es-ES"/>
          <w14:ligatures w14:val="none"/>
        </w:rPr>
        <w:t>al</w:t>
      </w:r>
      <w:r w:rsidR="00F66F22" w:rsidRPr="00F25895">
        <w:rPr>
          <w:rFonts w:ascii="Arial" w:eastAsia="Times New Roman" w:hAnsi="Arial" w:cs="Arial"/>
          <w:color w:val="000000" w:themeColor="text1"/>
          <w:kern w:val="0"/>
          <w:sz w:val="24"/>
          <w:szCs w:val="24"/>
          <w:lang w:val="es-ES" w:eastAsia="es-ES"/>
          <w14:ligatures w14:val="none"/>
        </w:rPr>
        <w:t xml:space="preserve"> marco fiscal de mediano plazo, </w:t>
      </w:r>
      <w:r>
        <w:rPr>
          <w:rFonts w:ascii="Arial" w:eastAsia="Times New Roman" w:hAnsi="Arial" w:cs="Arial"/>
          <w:color w:val="000000" w:themeColor="text1"/>
          <w:kern w:val="0"/>
          <w:sz w:val="24"/>
          <w:szCs w:val="24"/>
          <w:lang w:val="es-ES" w:eastAsia="es-ES"/>
          <w14:ligatures w14:val="none"/>
        </w:rPr>
        <w:t xml:space="preserve">dado que </w:t>
      </w:r>
      <w:r w:rsidR="00F66F22" w:rsidRPr="00F25895">
        <w:rPr>
          <w:rFonts w:ascii="Arial" w:eastAsia="Times New Roman" w:hAnsi="Arial" w:cs="Arial"/>
          <w:color w:val="000000" w:themeColor="text1"/>
          <w:kern w:val="0"/>
          <w:sz w:val="24"/>
          <w:szCs w:val="24"/>
          <w:lang w:val="es-ES" w:eastAsia="es-ES"/>
          <w14:ligatures w14:val="none"/>
        </w:rPr>
        <w:t xml:space="preserve">los recursos necesarios </w:t>
      </w:r>
      <w:r>
        <w:rPr>
          <w:rFonts w:ascii="Arial" w:eastAsia="Times New Roman" w:hAnsi="Arial" w:cs="Arial"/>
          <w:color w:val="000000" w:themeColor="text1"/>
          <w:kern w:val="0"/>
          <w:sz w:val="24"/>
          <w:szCs w:val="24"/>
          <w:lang w:val="es-ES" w:eastAsia="es-ES"/>
          <w14:ligatures w14:val="none"/>
        </w:rPr>
        <w:t xml:space="preserve">para la implementación no solo </w:t>
      </w:r>
      <w:r w:rsidR="00F66F22" w:rsidRPr="00F25895">
        <w:rPr>
          <w:rFonts w:ascii="Arial" w:eastAsia="Times New Roman" w:hAnsi="Arial" w:cs="Arial"/>
          <w:color w:val="000000" w:themeColor="text1"/>
          <w:kern w:val="0"/>
          <w:sz w:val="24"/>
          <w:szCs w:val="24"/>
          <w:lang w:val="es-ES" w:eastAsia="es-ES"/>
          <w14:ligatures w14:val="none"/>
        </w:rPr>
        <w:t>están incluidos en la disponibilidad presupuestal</w:t>
      </w:r>
      <w:r w:rsidR="003B6370">
        <w:rPr>
          <w:rFonts w:ascii="Arial" w:eastAsia="Times New Roman" w:hAnsi="Arial" w:cs="Arial"/>
          <w:color w:val="000000" w:themeColor="text1"/>
          <w:kern w:val="0"/>
          <w:sz w:val="24"/>
          <w:szCs w:val="24"/>
          <w:lang w:val="es-ES" w:eastAsia="es-ES"/>
          <w14:ligatures w14:val="none"/>
        </w:rPr>
        <w:t xml:space="preserve"> del distrito</w:t>
      </w:r>
      <w:r>
        <w:rPr>
          <w:rFonts w:ascii="Arial" w:eastAsia="Times New Roman" w:hAnsi="Arial" w:cs="Arial"/>
          <w:color w:val="000000" w:themeColor="text1"/>
          <w:kern w:val="0"/>
          <w:sz w:val="24"/>
          <w:szCs w:val="24"/>
          <w:lang w:val="es-ES" w:eastAsia="es-ES"/>
          <w14:ligatures w14:val="none"/>
        </w:rPr>
        <w:t xml:space="preserve">, sino que también pueden ser obtenidos </w:t>
      </w:r>
      <w:r w:rsidR="003B6370">
        <w:rPr>
          <w:rFonts w:ascii="Arial" w:eastAsia="Times New Roman" w:hAnsi="Arial" w:cs="Arial"/>
          <w:color w:val="000000" w:themeColor="text1"/>
          <w:kern w:val="0"/>
          <w:sz w:val="24"/>
          <w:szCs w:val="24"/>
          <w:lang w:val="es-ES" w:eastAsia="es-ES"/>
          <w14:ligatures w14:val="none"/>
        </w:rPr>
        <w:t xml:space="preserve">gracias a las disposiciones del gobierno nacional para financiar estos proyectos. </w:t>
      </w:r>
    </w:p>
    <w:p w14:paraId="583D1C90" w14:textId="4E1C9881" w:rsidR="00F66F22" w:rsidRPr="00F25895" w:rsidRDefault="00F66F22" w:rsidP="00F66F22">
      <w:pPr>
        <w:jc w:val="both"/>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color w:val="000000" w:themeColor="text1"/>
          <w:kern w:val="0"/>
          <w:sz w:val="24"/>
          <w:szCs w:val="24"/>
          <w:lang w:val="es-ES" w:eastAsia="es-ES"/>
          <w14:ligatures w14:val="none"/>
        </w:rPr>
        <w:t xml:space="preserve">Por todas las consideraciones anteriores, presentamos ante la Corporación esta iniciativa por ser de interés y conveniencia </w:t>
      </w:r>
      <w:r w:rsidR="005F636E" w:rsidRPr="00F25895">
        <w:rPr>
          <w:rFonts w:ascii="Arial" w:eastAsia="Times New Roman" w:hAnsi="Arial" w:cs="Arial"/>
          <w:color w:val="000000" w:themeColor="text1"/>
          <w:kern w:val="0"/>
          <w:sz w:val="24"/>
          <w:szCs w:val="24"/>
          <w:lang w:val="es-ES" w:eastAsia="es-ES"/>
          <w14:ligatures w14:val="none"/>
        </w:rPr>
        <w:t xml:space="preserve">de la ciudad con el fin de buscar medidas para </w:t>
      </w:r>
      <w:r w:rsidR="007F1B7D" w:rsidRPr="00F25895">
        <w:rPr>
          <w:rFonts w:ascii="Arial" w:eastAsia="Times New Roman" w:hAnsi="Arial" w:cs="Arial"/>
          <w:color w:val="000000" w:themeColor="text1"/>
          <w:kern w:val="0"/>
          <w:sz w:val="24"/>
          <w:szCs w:val="24"/>
          <w:lang w:val="es-ES" w:eastAsia="es-ES"/>
          <w14:ligatures w14:val="none"/>
        </w:rPr>
        <w:t>precaver</w:t>
      </w:r>
      <w:r w:rsidR="005F636E" w:rsidRPr="00F25895">
        <w:rPr>
          <w:rFonts w:ascii="Arial" w:eastAsia="Times New Roman" w:hAnsi="Arial" w:cs="Arial"/>
          <w:color w:val="000000" w:themeColor="text1"/>
          <w:kern w:val="0"/>
          <w:sz w:val="24"/>
          <w:szCs w:val="24"/>
          <w:lang w:val="es-ES" w:eastAsia="es-ES"/>
          <w14:ligatures w14:val="none"/>
        </w:rPr>
        <w:t xml:space="preserve"> el calentamiento global y mejorar los índices de contaminación para lograr una mejor calidad de vida. </w:t>
      </w:r>
    </w:p>
    <w:p w14:paraId="3B7DB174" w14:textId="324C8DD7" w:rsidR="00F66F22" w:rsidRPr="00F25895" w:rsidRDefault="002C6B1C" w:rsidP="00F66F22">
      <w:pPr>
        <w:widowControl w:val="0"/>
        <w:pBdr>
          <w:top w:val="nil"/>
          <w:left w:val="nil"/>
          <w:bottom w:val="nil"/>
          <w:right w:val="nil"/>
          <w:between w:val="nil"/>
        </w:pBdr>
        <w:spacing w:before="639" w:after="0" w:line="240" w:lineRule="auto"/>
        <w:rPr>
          <w:rFonts w:ascii="Arial" w:eastAsia="Times New Roman" w:hAnsi="Arial" w:cs="Arial"/>
          <w:color w:val="000000" w:themeColor="text1"/>
          <w:kern w:val="0"/>
          <w:sz w:val="24"/>
          <w:szCs w:val="24"/>
          <w:lang w:val="es-ES" w:eastAsia="es-ES"/>
          <w14:ligatures w14:val="none"/>
        </w:rPr>
      </w:pPr>
      <w:r>
        <w:rPr>
          <w:noProof/>
          <w:lang w:eastAsia="es-CO"/>
        </w:rPr>
        <w:drawing>
          <wp:anchor distT="0" distB="0" distL="0" distR="0" simplePos="0" relativeHeight="251659264" behindDoc="0" locked="0" layoutInCell="1" allowOverlap="1" wp14:anchorId="0E59CD3B" wp14:editId="2885A5C0">
            <wp:simplePos x="0" y="0"/>
            <wp:positionH relativeFrom="page">
              <wp:posOffset>1318260</wp:posOffset>
            </wp:positionH>
            <wp:positionV relativeFrom="paragraph">
              <wp:posOffset>450850</wp:posOffset>
            </wp:positionV>
            <wp:extent cx="1136511" cy="872832"/>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136511" cy="872832"/>
                    </a:xfrm>
                    <a:prstGeom prst="rect">
                      <a:avLst/>
                    </a:prstGeom>
                  </pic:spPr>
                </pic:pic>
              </a:graphicData>
            </a:graphic>
          </wp:anchor>
        </w:drawing>
      </w:r>
      <w:r w:rsidR="00F66F22" w:rsidRPr="00F25895">
        <w:rPr>
          <w:rFonts w:ascii="Arial" w:eastAsia="Times New Roman" w:hAnsi="Arial" w:cs="Arial"/>
          <w:color w:val="000000" w:themeColor="text1"/>
          <w:kern w:val="0"/>
          <w:sz w:val="24"/>
          <w:szCs w:val="24"/>
          <w:lang w:val="es-ES" w:eastAsia="es-ES"/>
          <w14:ligatures w14:val="none"/>
        </w:rPr>
        <w:t>Cordialmente,</w:t>
      </w:r>
    </w:p>
    <w:p w14:paraId="03EA256D" w14:textId="4145EAC6" w:rsidR="00F66F22" w:rsidRPr="00F25895" w:rsidRDefault="00F66F22" w:rsidP="00F66F22">
      <w:pPr>
        <w:widowControl w:val="0"/>
        <w:pBdr>
          <w:top w:val="nil"/>
          <w:left w:val="nil"/>
          <w:bottom w:val="nil"/>
          <w:right w:val="nil"/>
          <w:between w:val="nil"/>
        </w:pBdr>
        <w:spacing w:before="639" w:after="0" w:line="240" w:lineRule="auto"/>
        <w:rPr>
          <w:rFonts w:ascii="Arial" w:eastAsia="Times New Roman" w:hAnsi="Arial" w:cs="Arial"/>
          <w:b/>
          <w:color w:val="000000" w:themeColor="text1"/>
          <w:kern w:val="0"/>
          <w:sz w:val="24"/>
          <w:szCs w:val="24"/>
          <w:lang w:val="es-ES" w:eastAsia="es-ES"/>
          <w14:ligatures w14:val="none"/>
        </w:rPr>
      </w:pPr>
    </w:p>
    <w:p w14:paraId="48AA7D4C" w14:textId="77777777" w:rsidR="00F66F22" w:rsidRPr="00F25895" w:rsidRDefault="00F66F22" w:rsidP="00F66F22">
      <w:pPr>
        <w:pStyle w:val="Sinespaciado"/>
        <w:rPr>
          <w:rFonts w:ascii="Arial" w:hAnsi="Arial" w:cs="Arial"/>
          <w:b/>
          <w:bCs/>
          <w:color w:val="000000" w:themeColor="text1"/>
          <w:sz w:val="24"/>
          <w:szCs w:val="24"/>
        </w:rPr>
      </w:pPr>
      <w:r w:rsidRPr="00F25895">
        <w:rPr>
          <w:rFonts w:ascii="Arial" w:hAnsi="Arial" w:cs="Arial"/>
          <w:b/>
          <w:bCs/>
          <w:color w:val="000000" w:themeColor="text1"/>
          <w:sz w:val="24"/>
          <w:szCs w:val="24"/>
        </w:rPr>
        <w:t>ROCÍO DUSSÁN PÉREZ</w:t>
      </w:r>
    </w:p>
    <w:p w14:paraId="1D2C6E3C" w14:textId="5A72289B" w:rsidR="00F66F22" w:rsidRPr="00F25895" w:rsidRDefault="00F66F22" w:rsidP="00F66F22">
      <w:pPr>
        <w:pStyle w:val="Sinespaciado"/>
        <w:rPr>
          <w:rFonts w:ascii="Arial" w:hAnsi="Arial" w:cs="Arial"/>
          <w:color w:val="000000" w:themeColor="text1"/>
          <w:sz w:val="24"/>
          <w:szCs w:val="24"/>
        </w:rPr>
      </w:pPr>
      <w:r w:rsidRPr="00F25895">
        <w:rPr>
          <w:rFonts w:ascii="Arial" w:hAnsi="Arial" w:cs="Arial"/>
          <w:color w:val="000000" w:themeColor="text1"/>
          <w:sz w:val="24"/>
          <w:szCs w:val="24"/>
        </w:rPr>
        <w:t>Concejal</w:t>
      </w:r>
      <w:r w:rsidR="0083135C" w:rsidRPr="00F25895">
        <w:rPr>
          <w:rFonts w:ascii="Arial" w:hAnsi="Arial" w:cs="Arial"/>
          <w:color w:val="000000" w:themeColor="text1"/>
          <w:sz w:val="24"/>
          <w:szCs w:val="24"/>
        </w:rPr>
        <w:t xml:space="preserve"> de Bogotá D.C. </w:t>
      </w:r>
    </w:p>
    <w:p w14:paraId="688C9853" w14:textId="74BC9612" w:rsidR="0083135C" w:rsidRPr="00F25895" w:rsidRDefault="0083135C" w:rsidP="00F66F22">
      <w:pPr>
        <w:pStyle w:val="Sinespaciado"/>
        <w:rPr>
          <w:rFonts w:ascii="Arial" w:hAnsi="Arial" w:cs="Arial"/>
          <w:color w:val="000000" w:themeColor="text1"/>
          <w:sz w:val="24"/>
          <w:szCs w:val="24"/>
        </w:rPr>
      </w:pPr>
    </w:p>
    <w:p w14:paraId="0E07FE28" w14:textId="77777777" w:rsidR="0083135C" w:rsidRPr="00A41A6A" w:rsidRDefault="0083135C" w:rsidP="0083135C">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r w:rsidRPr="00A41A6A">
        <w:rPr>
          <w:rFonts w:ascii="Arial" w:eastAsia="Arial" w:hAnsi="Arial" w:cs="Arial"/>
          <w:bCs/>
          <w:i/>
          <w:iCs/>
          <w:color w:val="000000" w:themeColor="text1"/>
          <w:kern w:val="0"/>
          <w:sz w:val="16"/>
          <w:szCs w:val="16"/>
          <w:lang w:val="es-ES" w:eastAsia="es-CO"/>
          <w14:ligatures w14:val="none"/>
        </w:rPr>
        <w:t>Elaboró: Camilo Sotelo</w:t>
      </w:r>
    </w:p>
    <w:p w14:paraId="63ADEBA5" w14:textId="19427943" w:rsidR="0083135C" w:rsidRPr="00A41A6A" w:rsidRDefault="0083135C" w:rsidP="0083135C">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r w:rsidRPr="00A41A6A">
        <w:rPr>
          <w:rFonts w:ascii="Arial" w:eastAsia="Arial" w:hAnsi="Arial" w:cs="Arial"/>
          <w:bCs/>
          <w:i/>
          <w:iCs/>
          <w:color w:val="000000" w:themeColor="text1"/>
          <w:kern w:val="0"/>
          <w:sz w:val="16"/>
          <w:szCs w:val="16"/>
          <w:lang w:val="es-ES" w:eastAsia="es-CO"/>
          <w14:ligatures w14:val="none"/>
        </w:rPr>
        <w:t>Revisó:</w:t>
      </w:r>
      <w:r w:rsidR="000E3386">
        <w:rPr>
          <w:rFonts w:ascii="Arial" w:eastAsia="Arial" w:hAnsi="Arial" w:cs="Arial"/>
          <w:bCs/>
          <w:i/>
          <w:iCs/>
          <w:color w:val="000000" w:themeColor="text1"/>
          <w:kern w:val="0"/>
          <w:sz w:val="16"/>
          <w:szCs w:val="16"/>
          <w:lang w:val="es-ES" w:eastAsia="es-CO"/>
          <w14:ligatures w14:val="none"/>
        </w:rPr>
        <w:t xml:space="preserve"> N/A</w:t>
      </w:r>
      <w:r w:rsidRPr="00A41A6A">
        <w:rPr>
          <w:rFonts w:ascii="Arial" w:eastAsia="Arial" w:hAnsi="Arial" w:cs="Arial"/>
          <w:bCs/>
          <w:i/>
          <w:iCs/>
          <w:color w:val="000000" w:themeColor="text1"/>
          <w:kern w:val="0"/>
          <w:sz w:val="16"/>
          <w:szCs w:val="16"/>
          <w:lang w:val="es-ES" w:eastAsia="es-CO"/>
          <w14:ligatures w14:val="none"/>
        </w:rPr>
        <w:t xml:space="preserve"> </w:t>
      </w:r>
    </w:p>
    <w:p w14:paraId="4200277D" w14:textId="707AC68D" w:rsidR="005E2D2E" w:rsidRDefault="005E2D2E" w:rsidP="00F66F22">
      <w:pPr>
        <w:widowControl w:val="0"/>
        <w:pBdr>
          <w:top w:val="nil"/>
          <w:left w:val="nil"/>
          <w:bottom w:val="nil"/>
          <w:right w:val="nil"/>
          <w:between w:val="nil"/>
        </w:pBdr>
        <w:spacing w:before="639" w:after="0" w:line="240" w:lineRule="auto"/>
        <w:rPr>
          <w:rFonts w:ascii="Arial" w:eastAsia="Times New Roman" w:hAnsi="Arial" w:cs="Arial"/>
          <w:b/>
          <w:color w:val="000000" w:themeColor="text1"/>
          <w:kern w:val="0"/>
          <w:sz w:val="24"/>
          <w:szCs w:val="24"/>
          <w:lang w:val="es-ES" w:eastAsia="es-ES"/>
          <w14:ligatures w14:val="none"/>
        </w:rPr>
      </w:pPr>
    </w:p>
    <w:p w14:paraId="312010B3" w14:textId="362D7812" w:rsidR="000E3386" w:rsidRDefault="000E3386" w:rsidP="00F66F22">
      <w:pPr>
        <w:widowControl w:val="0"/>
        <w:pBdr>
          <w:top w:val="nil"/>
          <w:left w:val="nil"/>
          <w:bottom w:val="nil"/>
          <w:right w:val="nil"/>
          <w:between w:val="nil"/>
        </w:pBdr>
        <w:spacing w:before="639" w:after="0" w:line="240" w:lineRule="auto"/>
        <w:rPr>
          <w:rFonts w:ascii="Arial" w:eastAsia="Times New Roman" w:hAnsi="Arial" w:cs="Arial"/>
          <w:b/>
          <w:color w:val="000000" w:themeColor="text1"/>
          <w:kern w:val="0"/>
          <w:sz w:val="24"/>
          <w:szCs w:val="24"/>
          <w:lang w:val="es-ES" w:eastAsia="es-ES"/>
          <w14:ligatures w14:val="none"/>
        </w:rPr>
      </w:pPr>
    </w:p>
    <w:p w14:paraId="09642A9A" w14:textId="62C3042D" w:rsidR="000E3386" w:rsidRDefault="000E3386" w:rsidP="00F66F22">
      <w:pPr>
        <w:widowControl w:val="0"/>
        <w:pBdr>
          <w:top w:val="nil"/>
          <w:left w:val="nil"/>
          <w:bottom w:val="nil"/>
          <w:right w:val="nil"/>
          <w:between w:val="nil"/>
        </w:pBdr>
        <w:spacing w:before="639" w:after="0" w:line="240" w:lineRule="auto"/>
        <w:rPr>
          <w:rFonts w:ascii="Arial" w:eastAsia="Times New Roman" w:hAnsi="Arial" w:cs="Arial"/>
          <w:b/>
          <w:color w:val="000000" w:themeColor="text1"/>
          <w:kern w:val="0"/>
          <w:sz w:val="24"/>
          <w:szCs w:val="24"/>
          <w:lang w:val="es-ES" w:eastAsia="es-ES"/>
          <w14:ligatures w14:val="none"/>
        </w:rPr>
      </w:pPr>
    </w:p>
    <w:p w14:paraId="6E840EF5" w14:textId="77777777" w:rsidR="000E3386" w:rsidRPr="00F25895" w:rsidRDefault="000E3386" w:rsidP="00F66F22">
      <w:pPr>
        <w:widowControl w:val="0"/>
        <w:pBdr>
          <w:top w:val="nil"/>
          <w:left w:val="nil"/>
          <w:bottom w:val="nil"/>
          <w:right w:val="nil"/>
          <w:between w:val="nil"/>
        </w:pBdr>
        <w:spacing w:before="639" w:after="0" w:line="240" w:lineRule="auto"/>
        <w:rPr>
          <w:rFonts w:ascii="Arial" w:eastAsia="Times New Roman" w:hAnsi="Arial" w:cs="Arial"/>
          <w:b/>
          <w:color w:val="000000" w:themeColor="text1"/>
          <w:kern w:val="0"/>
          <w:sz w:val="24"/>
          <w:szCs w:val="24"/>
          <w:lang w:val="es-ES" w:eastAsia="es-ES"/>
          <w14:ligatures w14:val="none"/>
        </w:rPr>
      </w:pPr>
    </w:p>
    <w:p w14:paraId="74579C35" w14:textId="431703B0" w:rsidR="00F66F22" w:rsidRPr="00F25895" w:rsidRDefault="00F66F22" w:rsidP="00105DFB">
      <w:pPr>
        <w:widowControl w:val="0"/>
        <w:numPr>
          <w:ilvl w:val="0"/>
          <w:numId w:val="13"/>
        </w:numPr>
        <w:pBdr>
          <w:top w:val="nil"/>
          <w:left w:val="nil"/>
          <w:bottom w:val="nil"/>
          <w:right w:val="nil"/>
          <w:between w:val="nil"/>
        </w:pBdr>
        <w:spacing w:after="0" w:line="240" w:lineRule="auto"/>
        <w:ind w:right="17"/>
        <w:jc w:val="center"/>
        <w:rPr>
          <w:rFonts w:ascii="Arial" w:eastAsia="Times New Roman" w:hAnsi="Arial" w:cs="Arial"/>
          <w:color w:val="000000" w:themeColor="text1"/>
          <w:kern w:val="0"/>
          <w:sz w:val="24"/>
          <w:szCs w:val="24"/>
          <w:lang w:val="es-ES" w:eastAsia="es-ES"/>
          <w14:ligatures w14:val="none"/>
        </w:rPr>
      </w:pPr>
      <w:r w:rsidRPr="00F25895">
        <w:rPr>
          <w:rFonts w:ascii="Arial" w:eastAsia="Times New Roman" w:hAnsi="Arial" w:cs="Arial"/>
          <w:b/>
          <w:color w:val="000000" w:themeColor="text1"/>
          <w:kern w:val="0"/>
          <w:sz w:val="24"/>
          <w:szCs w:val="24"/>
          <w:lang w:val="es-ES" w:eastAsia="es-ES"/>
          <w14:ligatures w14:val="none"/>
        </w:rPr>
        <w:t>TÍTULO – ATRIBUCIONES - CONSIDERANDOS</w:t>
      </w:r>
    </w:p>
    <w:p w14:paraId="422FBB7E" w14:textId="77777777" w:rsidR="0036618F" w:rsidRPr="00F25895" w:rsidRDefault="0036618F" w:rsidP="0036618F">
      <w:pPr>
        <w:pStyle w:val="Sinespaciado"/>
        <w:rPr>
          <w:rFonts w:ascii="Arial" w:hAnsi="Arial" w:cs="Arial"/>
          <w:color w:val="000000" w:themeColor="text1"/>
          <w:sz w:val="24"/>
          <w:szCs w:val="24"/>
        </w:rPr>
      </w:pPr>
    </w:p>
    <w:p w14:paraId="745C374F" w14:textId="1F360B1F" w:rsidR="00F66F22" w:rsidRPr="00F25895" w:rsidRDefault="00F66F22" w:rsidP="0036618F">
      <w:pPr>
        <w:pStyle w:val="Sinespaciado"/>
        <w:jc w:val="center"/>
        <w:rPr>
          <w:rFonts w:ascii="Arial" w:hAnsi="Arial" w:cs="Arial"/>
          <w:b/>
          <w:bCs/>
          <w:color w:val="000000" w:themeColor="text1"/>
          <w:sz w:val="24"/>
          <w:szCs w:val="24"/>
        </w:rPr>
      </w:pPr>
      <w:r w:rsidRPr="00F25895">
        <w:rPr>
          <w:rFonts w:ascii="Arial" w:hAnsi="Arial" w:cs="Arial"/>
          <w:b/>
          <w:bCs/>
          <w:color w:val="000000" w:themeColor="text1"/>
          <w:sz w:val="24"/>
          <w:szCs w:val="24"/>
        </w:rPr>
        <w:t>PROYECTO DE ACUERDO No. _____ DE 202</w:t>
      </w:r>
      <w:r w:rsidR="003813C6">
        <w:rPr>
          <w:rFonts w:ascii="Arial" w:hAnsi="Arial" w:cs="Arial"/>
          <w:b/>
          <w:bCs/>
          <w:color w:val="000000" w:themeColor="text1"/>
          <w:sz w:val="24"/>
          <w:szCs w:val="24"/>
        </w:rPr>
        <w:t>5</w:t>
      </w:r>
    </w:p>
    <w:p w14:paraId="62529919" w14:textId="77777777" w:rsidR="0036618F" w:rsidRPr="00F25895" w:rsidRDefault="0036618F" w:rsidP="0036618F">
      <w:pPr>
        <w:pStyle w:val="Sinespaciado"/>
        <w:rPr>
          <w:rFonts w:ascii="Arial" w:hAnsi="Arial" w:cs="Arial"/>
          <w:color w:val="000000" w:themeColor="text1"/>
          <w:sz w:val="24"/>
          <w:szCs w:val="24"/>
        </w:rPr>
      </w:pPr>
    </w:p>
    <w:p w14:paraId="0EC095DC" w14:textId="0E4602FE" w:rsidR="004C6E9E" w:rsidRPr="004C6E9E" w:rsidRDefault="003813C6" w:rsidP="004C6E9E">
      <w:pPr>
        <w:widowControl w:val="0"/>
        <w:pBdr>
          <w:top w:val="nil"/>
          <w:left w:val="nil"/>
          <w:bottom w:val="nil"/>
          <w:right w:val="nil"/>
          <w:between w:val="nil"/>
        </w:pBdr>
        <w:spacing w:after="0" w:line="240" w:lineRule="auto"/>
        <w:jc w:val="center"/>
        <w:rPr>
          <w:rFonts w:ascii="Arial" w:hAnsi="Arial" w:cs="Arial"/>
          <w:b/>
          <w:i/>
          <w:iCs/>
          <w:color w:val="000000" w:themeColor="text1"/>
          <w:sz w:val="24"/>
          <w:szCs w:val="24"/>
          <w:lang w:val="es-ES"/>
        </w:rPr>
      </w:pPr>
      <w:r w:rsidRPr="004C6E9E">
        <w:rPr>
          <w:rFonts w:ascii="Arial" w:hAnsi="Arial" w:cs="Arial"/>
          <w:b/>
          <w:i/>
          <w:iCs/>
          <w:color w:val="000000" w:themeColor="text1"/>
          <w:sz w:val="24"/>
          <w:szCs w:val="24"/>
          <w:lang w:val="es-ES"/>
        </w:rPr>
        <w:t xml:space="preserve">“POR MEDIO DEL CUAL SE CREA Y SE ADOPTA EL PROGRAMA DE INCENTIVOS PARA LA CONSTRUCCIÓN E INSTALACIÓN DE ELECTROLINERAS EN EL </w:t>
      </w:r>
      <w:r>
        <w:rPr>
          <w:rFonts w:ascii="Arial" w:hAnsi="Arial" w:cs="Arial"/>
          <w:b/>
          <w:i/>
          <w:iCs/>
          <w:color w:val="000000" w:themeColor="text1"/>
          <w:sz w:val="24"/>
          <w:szCs w:val="24"/>
          <w:lang w:val="es-ES"/>
        </w:rPr>
        <w:t>DIS</w:t>
      </w:r>
      <w:r w:rsidRPr="004C6E9E">
        <w:rPr>
          <w:rFonts w:ascii="Arial" w:hAnsi="Arial" w:cs="Arial"/>
          <w:b/>
          <w:i/>
          <w:iCs/>
          <w:color w:val="000000" w:themeColor="text1"/>
          <w:sz w:val="24"/>
          <w:szCs w:val="24"/>
          <w:lang w:val="es-ES"/>
        </w:rPr>
        <w:t>TRITO CAPITAL”</w:t>
      </w:r>
    </w:p>
    <w:p w14:paraId="18F3C957" w14:textId="77777777" w:rsidR="0036618F" w:rsidRPr="00F25895" w:rsidRDefault="0036618F" w:rsidP="0036618F">
      <w:pPr>
        <w:pStyle w:val="Sinespaciado"/>
        <w:jc w:val="center"/>
        <w:rPr>
          <w:rFonts w:ascii="Arial" w:hAnsi="Arial" w:cs="Arial"/>
          <w:color w:val="000000" w:themeColor="text1"/>
          <w:sz w:val="24"/>
          <w:szCs w:val="24"/>
        </w:rPr>
      </w:pPr>
    </w:p>
    <w:p w14:paraId="57FFF5F1" w14:textId="5358E25B" w:rsidR="00A003B5" w:rsidRPr="00F25895" w:rsidRDefault="00A003B5" w:rsidP="0036618F">
      <w:pPr>
        <w:pStyle w:val="Sinespaciado"/>
        <w:jc w:val="center"/>
        <w:rPr>
          <w:rFonts w:ascii="Arial" w:hAnsi="Arial" w:cs="Arial"/>
          <w:b/>
          <w:bCs/>
          <w:color w:val="000000" w:themeColor="text1"/>
          <w:sz w:val="24"/>
          <w:szCs w:val="24"/>
        </w:rPr>
      </w:pPr>
      <w:r w:rsidRPr="00F25895">
        <w:rPr>
          <w:rFonts w:ascii="Arial" w:hAnsi="Arial" w:cs="Arial"/>
          <w:b/>
          <w:bCs/>
          <w:color w:val="000000" w:themeColor="text1"/>
          <w:sz w:val="24"/>
          <w:szCs w:val="24"/>
        </w:rPr>
        <w:t>EL CONCEJO DE BOGOTÁ D.C.</w:t>
      </w:r>
    </w:p>
    <w:p w14:paraId="2164B5D0" w14:textId="5B7FDD47" w:rsidR="00DD6B5A" w:rsidRPr="00F25895" w:rsidRDefault="00DD6B5A" w:rsidP="0036618F">
      <w:pPr>
        <w:pStyle w:val="Sinespaciado"/>
        <w:rPr>
          <w:rFonts w:ascii="Arial" w:hAnsi="Arial" w:cs="Arial"/>
          <w:bCs/>
          <w:color w:val="000000" w:themeColor="text1"/>
          <w:sz w:val="24"/>
          <w:szCs w:val="24"/>
          <w:lang w:eastAsia="es-CO"/>
        </w:rPr>
      </w:pPr>
    </w:p>
    <w:p w14:paraId="6FBF9D15" w14:textId="5C42240A" w:rsidR="0036618F" w:rsidRPr="004C6E9E" w:rsidRDefault="00EC63DD" w:rsidP="004C6E9E">
      <w:pPr>
        <w:pStyle w:val="Sinespaciado"/>
        <w:jc w:val="both"/>
        <w:rPr>
          <w:rFonts w:ascii="Arial" w:hAnsi="Arial" w:cs="Arial"/>
          <w:bCs/>
          <w:color w:val="000000" w:themeColor="text1"/>
          <w:sz w:val="24"/>
          <w:szCs w:val="24"/>
          <w:lang w:eastAsia="es-CO"/>
        </w:rPr>
      </w:pPr>
      <w:r w:rsidRPr="00F25895">
        <w:rPr>
          <w:rFonts w:ascii="Arial" w:hAnsi="Arial" w:cs="Arial"/>
          <w:bCs/>
          <w:color w:val="000000" w:themeColor="text1"/>
          <w:sz w:val="24"/>
          <w:szCs w:val="24"/>
          <w:lang w:eastAsia="es-CO"/>
        </w:rPr>
        <w:t>En ejercicio de sus facultades constitucionales y legales, en especial las conferidas en los numerales 1 y 10 del artículo 313 de la Constitución Política de Colombia y el numeral 1 y del artículo 1</w:t>
      </w:r>
      <w:r w:rsidR="004C6E9E">
        <w:rPr>
          <w:rFonts w:ascii="Arial" w:hAnsi="Arial" w:cs="Arial"/>
          <w:bCs/>
          <w:color w:val="000000" w:themeColor="text1"/>
          <w:sz w:val="24"/>
          <w:szCs w:val="24"/>
          <w:lang w:eastAsia="es-CO"/>
        </w:rPr>
        <w:t>2 del Decreto Ley 1421 de 1993</w:t>
      </w:r>
    </w:p>
    <w:p w14:paraId="7B1D3986" w14:textId="12CBF616" w:rsidR="00C140D7" w:rsidRPr="00F25895" w:rsidRDefault="00A003B5" w:rsidP="0038630F">
      <w:pPr>
        <w:widowControl w:val="0"/>
        <w:pBdr>
          <w:top w:val="nil"/>
          <w:left w:val="nil"/>
          <w:bottom w:val="nil"/>
          <w:right w:val="nil"/>
          <w:between w:val="nil"/>
        </w:pBdr>
        <w:spacing w:before="271" w:after="0" w:line="240" w:lineRule="auto"/>
        <w:ind w:left="3788"/>
        <w:rPr>
          <w:rFonts w:ascii="Arial" w:eastAsia="Times New Roman" w:hAnsi="Arial" w:cs="Arial"/>
          <w:b/>
          <w:color w:val="000000" w:themeColor="text1"/>
          <w:kern w:val="0"/>
          <w:sz w:val="24"/>
          <w:szCs w:val="24"/>
          <w:lang w:val="es-ES" w:eastAsia="es-ES"/>
          <w14:ligatures w14:val="none"/>
        </w:rPr>
      </w:pPr>
      <w:r w:rsidRPr="00F25895">
        <w:rPr>
          <w:rFonts w:ascii="Arial" w:eastAsia="Times New Roman" w:hAnsi="Arial" w:cs="Arial"/>
          <w:b/>
          <w:color w:val="000000" w:themeColor="text1"/>
          <w:kern w:val="0"/>
          <w:sz w:val="24"/>
          <w:szCs w:val="24"/>
          <w:lang w:val="es-ES" w:eastAsia="es-ES"/>
          <w14:ligatures w14:val="none"/>
        </w:rPr>
        <w:t xml:space="preserve">ACUERDA: </w:t>
      </w:r>
    </w:p>
    <w:p w14:paraId="3C841D15" w14:textId="77777777" w:rsidR="00EC63DD" w:rsidRPr="00F25895" w:rsidRDefault="00EC63DD" w:rsidP="0036618F">
      <w:pPr>
        <w:pStyle w:val="Sinespaciado"/>
        <w:jc w:val="both"/>
        <w:rPr>
          <w:rFonts w:ascii="Arial" w:hAnsi="Arial" w:cs="Arial"/>
          <w:color w:val="000000" w:themeColor="text1"/>
          <w:sz w:val="24"/>
          <w:szCs w:val="24"/>
          <w:lang w:eastAsia="es-CO"/>
        </w:rPr>
      </w:pPr>
    </w:p>
    <w:p w14:paraId="3F5A7346"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Artículo 1. Objeto.</w:t>
      </w:r>
      <w:r w:rsidRPr="004C6E9E">
        <w:rPr>
          <w:rFonts w:ascii="Arial" w:eastAsia="Times New Roman" w:hAnsi="Arial" w:cs="Arial"/>
          <w:bCs/>
          <w:color w:val="000000" w:themeColor="text1"/>
          <w:kern w:val="0"/>
          <w:sz w:val="24"/>
          <w:szCs w:val="24"/>
          <w:lang w:val="es-ES" w:eastAsia="es-CO"/>
          <w14:ligatures w14:val="none"/>
        </w:rPr>
        <w:t xml:space="preserve"> El presente Acuerdo tiene por objeto crear y adoptar el programa de incentivos para la construcción e instalación de electrolineras en el Distrito Capital</w:t>
      </w:r>
    </w:p>
    <w:p w14:paraId="0C0523BE"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3C38E54C" w14:textId="732A7672"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Artículo 2.</w:t>
      </w:r>
      <w:r w:rsidRPr="004C6E9E">
        <w:rPr>
          <w:rFonts w:ascii="Arial" w:eastAsia="Times New Roman" w:hAnsi="Arial" w:cs="Arial"/>
          <w:bCs/>
          <w:color w:val="000000" w:themeColor="text1"/>
          <w:kern w:val="0"/>
          <w:sz w:val="24"/>
          <w:szCs w:val="24"/>
          <w:lang w:val="es-ES" w:eastAsia="es-CO"/>
          <w14:ligatures w14:val="none"/>
        </w:rPr>
        <w:t xml:space="preserve"> La Administración Distrital en cabeza de la Secretaría Distrital de Desarrollo Económico promoverá la creación de un fondo que permita</w:t>
      </w:r>
      <w:r>
        <w:rPr>
          <w:rFonts w:ascii="Arial" w:eastAsia="Times New Roman" w:hAnsi="Arial" w:cs="Arial"/>
          <w:bCs/>
          <w:color w:val="000000" w:themeColor="text1"/>
          <w:kern w:val="0"/>
          <w:sz w:val="24"/>
          <w:szCs w:val="24"/>
          <w:lang w:val="es-ES" w:eastAsia="es-CO"/>
          <w14:ligatures w14:val="none"/>
        </w:rPr>
        <w:t xml:space="preserve"> financiar a empresas o entida</w:t>
      </w:r>
      <w:r w:rsidRPr="004C6E9E">
        <w:rPr>
          <w:rFonts w:ascii="Arial" w:eastAsia="Times New Roman" w:hAnsi="Arial" w:cs="Arial"/>
          <w:bCs/>
          <w:color w:val="000000" w:themeColor="text1"/>
          <w:kern w:val="0"/>
          <w:sz w:val="24"/>
          <w:szCs w:val="24"/>
          <w:lang w:val="es-ES" w:eastAsia="es-CO"/>
          <w14:ligatures w14:val="none"/>
        </w:rPr>
        <w:t>des que construyan o renueven electrolineras para carga de vehículos, así como</w:t>
      </w:r>
      <w:r>
        <w:rPr>
          <w:rFonts w:ascii="Arial" w:eastAsia="Times New Roman" w:hAnsi="Arial" w:cs="Arial"/>
          <w:bCs/>
          <w:color w:val="000000" w:themeColor="text1"/>
          <w:kern w:val="0"/>
          <w:sz w:val="24"/>
          <w:szCs w:val="24"/>
          <w:lang w:val="es-ES" w:eastAsia="es-CO"/>
          <w14:ligatures w14:val="none"/>
        </w:rPr>
        <w:t xml:space="preserve"> la finan</w:t>
      </w:r>
      <w:r w:rsidRPr="004C6E9E">
        <w:rPr>
          <w:rFonts w:ascii="Arial" w:eastAsia="Times New Roman" w:hAnsi="Arial" w:cs="Arial"/>
          <w:bCs/>
          <w:color w:val="000000" w:themeColor="text1"/>
          <w:kern w:val="0"/>
          <w:sz w:val="24"/>
          <w:szCs w:val="24"/>
          <w:lang w:val="es-ES" w:eastAsia="es-CO"/>
          <w14:ligatures w14:val="none"/>
        </w:rPr>
        <w:t xml:space="preserve">ciación para adquirir los equipos de carga rápida o </w:t>
      </w:r>
      <w:proofErr w:type="spellStart"/>
      <w:r w:rsidRPr="004C6E9E">
        <w:rPr>
          <w:rFonts w:ascii="Arial" w:eastAsia="Times New Roman" w:hAnsi="Arial" w:cs="Arial"/>
          <w:bCs/>
          <w:color w:val="000000" w:themeColor="text1"/>
          <w:kern w:val="0"/>
          <w:sz w:val="24"/>
          <w:szCs w:val="24"/>
          <w:lang w:val="es-ES" w:eastAsia="es-CO"/>
          <w14:ligatures w14:val="none"/>
        </w:rPr>
        <w:t>semi-rápida</w:t>
      </w:r>
      <w:proofErr w:type="spellEnd"/>
      <w:r w:rsidRPr="004C6E9E">
        <w:rPr>
          <w:rFonts w:ascii="Arial" w:eastAsia="Times New Roman" w:hAnsi="Arial" w:cs="Arial"/>
          <w:bCs/>
          <w:color w:val="000000" w:themeColor="text1"/>
          <w:kern w:val="0"/>
          <w:sz w:val="24"/>
          <w:szCs w:val="24"/>
          <w:lang w:val="es-ES" w:eastAsia="es-CO"/>
          <w14:ligatures w14:val="none"/>
        </w:rPr>
        <w:t xml:space="preserve"> para estas electrolineras.</w:t>
      </w:r>
    </w:p>
    <w:p w14:paraId="6DC17411"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318E99C0" w14:textId="7291F933"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Parágrafo.</w:t>
      </w:r>
      <w:r w:rsidRPr="004C6E9E">
        <w:rPr>
          <w:rFonts w:ascii="Arial" w:eastAsia="Times New Roman" w:hAnsi="Arial" w:cs="Arial"/>
          <w:bCs/>
          <w:color w:val="000000" w:themeColor="text1"/>
          <w:kern w:val="0"/>
          <w:sz w:val="24"/>
          <w:szCs w:val="24"/>
          <w:lang w:val="es-ES" w:eastAsia="es-CO"/>
          <w14:ligatures w14:val="none"/>
        </w:rPr>
        <w:t xml:space="preserve"> Para la consecución de los recursos de este fondo</w:t>
      </w:r>
      <w:r>
        <w:rPr>
          <w:rFonts w:ascii="Arial" w:eastAsia="Times New Roman" w:hAnsi="Arial" w:cs="Arial"/>
          <w:bCs/>
          <w:color w:val="000000" w:themeColor="text1"/>
          <w:kern w:val="0"/>
          <w:sz w:val="24"/>
          <w:szCs w:val="24"/>
          <w:lang w:val="es-ES" w:eastAsia="es-CO"/>
          <w14:ligatures w14:val="none"/>
        </w:rPr>
        <w:t>, el Distrito podrá usar recur</w:t>
      </w:r>
      <w:r w:rsidRPr="004C6E9E">
        <w:rPr>
          <w:rFonts w:ascii="Arial" w:eastAsia="Times New Roman" w:hAnsi="Arial" w:cs="Arial"/>
          <w:bCs/>
          <w:color w:val="000000" w:themeColor="text1"/>
          <w:kern w:val="0"/>
          <w:sz w:val="24"/>
          <w:szCs w:val="24"/>
          <w:lang w:val="es-ES" w:eastAsia="es-CO"/>
          <w14:ligatures w14:val="none"/>
        </w:rPr>
        <w:t>sos que le asigne anualmente en su presupuesto, aportes volun</w:t>
      </w:r>
      <w:r>
        <w:rPr>
          <w:rFonts w:ascii="Arial" w:eastAsia="Times New Roman" w:hAnsi="Arial" w:cs="Arial"/>
          <w:bCs/>
          <w:color w:val="000000" w:themeColor="text1"/>
          <w:kern w:val="0"/>
          <w:sz w:val="24"/>
          <w:szCs w:val="24"/>
          <w:lang w:val="es-ES" w:eastAsia="es-CO"/>
          <w14:ligatures w14:val="none"/>
        </w:rPr>
        <w:t>tarios que realicen las per</w:t>
      </w:r>
      <w:r w:rsidRPr="004C6E9E">
        <w:rPr>
          <w:rFonts w:ascii="Arial" w:eastAsia="Times New Roman" w:hAnsi="Arial" w:cs="Arial"/>
          <w:bCs/>
          <w:color w:val="000000" w:themeColor="text1"/>
          <w:kern w:val="0"/>
          <w:sz w:val="24"/>
          <w:szCs w:val="24"/>
          <w:lang w:val="es-ES" w:eastAsia="es-CO"/>
          <w14:ligatures w14:val="none"/>
        </w:rPr>
        <w:t>sonas naturales o jurídicas declarantes del Impuesto de In</w:t>
      </w:r>
      <w:r>
        <w:rPr>
          <w:rFonts w:ascii="Arial" w:eastAsia="Times New Roman" w:hAnsi="Arial" w:cs="Arial"/>
          <w:bCs/>
          <w:color w:val="000000" w:themeColor="text1"/>
          <w:kern w:val="0"/>
          <w:sz w:val="24"/>
          <w:szCs w:val="24"/>
          <w:lang w:val="es-ES" w:eastAsia="es-CO"/>
          <w14:ligatures w14:val="none"/>
        </w:rPr>
        <w:t>dustria, Comercio, Avisos y Ta</w:t>
      </w:r>
      <w:r w:rsidRPr="004C6E9E">
        <w:rPr>
          <w:rFonts w:ascii="Arial" w:eastAsia="Times New Roman" w:hAnsi="Arial" w:cs="Arial"/>
          <w:bCs/>
          <w:color w:val="000000" w:themeColor="text1"/>
          <w:kern w:val="0"/>
          <w:sz w:val="24"/>
          <w:szCs w:val="24"/>
          <w:lang w:val="es-ES" w:eastAsia="es-CO"/>
          <w14:ligatures w14:val="none"/>
        </w:rPr>
        <w:t>bleros, las donaciones o aportes de cualquier clase que se reciban de personas naturales o entidades públicas o privadas, o legados de personas naturales, con destino al Fondo, y el producto de los rendimientos financieros del mismo.</w:t>
      </w:r>
    </w:p>
    <w:p w14:paraId="46AD320B"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7D659AEC" w14:textId="43486181"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Artículo 3.</w:t>
      </w:r>
      <w:r w:rsidRPr="004C6E9E">
        <w:rPr>
          <w:rFonts w:ascii="Arial" w:eastAsia="Times New Roman" w:hAnsi="Arial" w:cs="Arial"/>
          <w:bCs/>
          <w:color w:val="000000" w:themeColor="text1"/>
          <w:kern w:val="0"/>
          <w:sz w:val="24"/>
          <w:szCs w:val="24"/>
          <w:lang w:val="es-ES" w:eastAsia="es-CO"/>
          <w14:ligatures w14:val="none"/>
        </w:rPr>
        <w:t xml:space="preserve"> La Administración Distrital creará el programa </w:t>
      </w:r>
      <w:r>
        <w:rPr>
          <w:rFonts w:ascii="Arial" w:eastAsia="Times New Roman" w:hAnsi="Arial" w:cs="Arial"/>
          <w:bCs/>
          <w:color w:val="000000" w:themeColor="text1"/>
          <w:kern w:val="0"/>
          <w:sz w:val="24"/>
          <w:szCs w:val="24"/>
          <w:lang w:val="es-ES" w:eastAsia="es-CO"/>
          <w14:ligatures w14:val="none"/>
        </w:rPr>
        <w:t>de exenciones fiscales para em</w:t>
      </w:r>
      <w:r w:rsidRPr="004C6E9E">
        <w:rPr>
          <w:rFonts w:ascii="Arial" w:eastAsia="Times New Roman" w:hAnsi="Arial" w:cs="Arial"/>
          <w:bCs/>
          <w:color w:val="000000" w:themeColor="text1"/>
          <w:kern w:val="0"/>
          <w:sz w:val="24"/>
          <w:szCs w:val="24"/>
          <w:lang w:val="es-ES" w:eastAsia="es-CO"/>
          <w14:ligatures w14:val="none"/>
        </w:rPr>
        <w:t>presas que inviertan en construcción, instalación y operación de electrolineras en la ciudad para servicio público, siempre y cuando no se afecte el Marco Fiscal a Mediano Plazo.</w:t>
      </w:r>
    </w:p>
    <w:p w14:paraId="3DF54226"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04F793BC"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Parágrafo.</w:t>
      </w:r>
      <w:r w:rsidRPr="004C6E9E">
        <w:rPr>
          <w:rFonts w:ascii="Arial" w:eastAsia="Times New Roman" w:hAnsi="Arial" w:cs="Arial"/>
          <w:bCs/>
          <w:color w:val="000000" w:themeColor="text1"/>
          <w:kern w:val="0"/>
          <w:sz w:val="24"/>
          <w:szCs w:val="24"/>
          <w:lang w:val="es-ES" w:eastAsia="es-CO"/>
          <w14:ligatures w14:val="none"/>
        </w:rPr>
        <w:t xml:space="preserve"> La creación e implementación del programa estará en cabeza de la </w:t>
      </w:r>
      <w:r w:rsidRPr="004C6E9E">
        <w:rPr>
          <w:rFonts w:ascii="Arial" w:eastAsia="Times New Roman" w:hAnsi="Arial" w:cs="Arial"/>
          <w:bCs/>
          <w:color w:val="000000" w:themeColor="text1"/>
          <w:kern w:val="0"/>
          <w:sz w:val="24"/>
          <w:szCs w:val="24"/>
          <w:lang w:val="es-ES" w:eastAsia="es-CO"/>
          <w14:ligatures w14:val="none"/>
        </w:rPr>
        <w:lastRenderedPageBreak/>
        <w:t>Secretaría Distrital de Hacienda, quien tendrá autonomía para determinar la clase de exenciones y el periodo en que se harán efectivas.</w:t>
      </w:r>
    </w:p>
    <w:p w14:paraId="28EB444D"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037F0C7D" w14:textId="66A1D4EE"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Artículo 4.</w:t>
      </w:r>
      <w:r w:rsidRPr="004C6E9E">
        <w:rPr>
          <w:rFonts w:ascii="Arial" w:eastAsia="Times New Roman" w:hAnsi="Arial" w:cs="Arial"/>
          <w:bCs/>
          <w:color w:val="000000" w:themeColor="text1"/>
          <w:kern w:val="0"/>
          <w:sz w:val="24"/>
          <w:szCs w:val="24"/>
          <w:lang w:val="es-ES" w:eastAsia="es-CO"/>
          <w14:ligatures w14:val="none"/>
        </w:rPr>
        <w:t xml:space="preserve"> La Administración Distrital propenderá por crear el programa de simplificación de trámites administrativos para agilizar el procedimiento para la obtención de permisos de construcción y otras licencias necesarias para la instalación de electrolineras para servicio público en la ciudad</w:t>
      </w:r>
    </w:p>
    <w:p w14:paraId="3C0ECB30"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p>
    <w:p w14:paraId="1E95B79F" w14:textId="0020320E"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Artículo 5. Vigencia.</w:t>
      </w:r>
      <w:r w:rsidRPr="004C6E9E">
        <w:rPr>
          <w:rFonts w:ascii="Arial" w:eastAsia="Times New Roman" w:hAnsi="Arial" w:cs="Arial"/>
          <w:bCs/>
          <w:color w:val="000000" w:themeColor="text1"/>
          <w:kern w:val="0"/>
          <w:sz w:val="24"/>
          <w:szCs w:val="24"/>
          <w:lang w:val="es-ES" w:eastAsia="es-CO"/>
          <w14:ligatures w14:val="none"/>
        </w:rPr>
        <w:t xml:space="preserve"> El presente Acuerdo rige a partir de l</w:t>
      </w:r>
      <w:r>
        <w:rPr>
          <w:rFonts w:ascii="Arial" w:eastAsia="Times New Roman" w:hAnsi="Arial" w:cs="Arial"/>
          <w:bCs/>
          <w:color w:val="000000" w:themeColor="text1"/>
          <w:kern w:val="0"/>
          <w:sz w:val="24"/>
          <w:szCs w:val="24"/>
          <w:lang w:val="es-ES" w:eastAsia="es-CO"/>
          <w14:ligatures w14:val="none"/>
        </w:rPr>
        <w:t>a fecha de su publicación y de</w:t>
      </w:r>
      <w:r w:rsidRPr="004C6E9E">
        <w:rPr>
          <w:rFonts w:ascii="Arial" w:eastAsia="Times New Roman" w:hAnsi="Arial" w:cs="Arial"/>
          <w:bCs/>
          <w:color w:val="000000" w:themeColor="text1"/>
          <w:kern w:val="0"/>
          <w:sz w:val="24"/>
          <w:szCs w:val="24"/>
          <w:lang w:val="es-ES" w:eastAsia="es-CO"/>
          <w14:ligatures w14:val="none"/>
        </w:rPr>
        <w:t>roga las normas que le sean contrarias.</w:t>
      </w:r>
    </w:p>
    <w:p w14:paraId="70B217AA"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
          <w:bCs/>
          <w:color w:val="000000" w:themeColor="text1"/>
          <w:kern w:val="0"/>
          <w:sz w:val="24"/>
          <w:szCs w:val="24"/>
          <w:lang w:val="es-ES" w:eastAsia="es-CO"/>
          <w14:ligatures w14:val="none"/>
        </w:rPr>
      </w:pPr>
    </w:p>
    <w:p w14:paraId="7B42CAD7"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
          <w:bCs/>
          <w:color w:val="000000" w:themeColor="text1"/>
          <w:kern w:val="0"/>
          <w:sz w:val="24"/>
          <w:szCs w:val="24"/>
          <w:lang w:val="es-ES" w:eastAsia="es-CO"/>
          <w14:ligatures w14:val="none"/>
        </w:rPr>
      </w:pPr>
    </w:p>
    <w:p w14:paraId="4C6CA47F" w14:textId="77777777" w:rsidR="004C6E9E" w:rsidRPr="004C6E9E" w:rsidRDefault="004C6E9E" w:rsidP="004C6E9E">
      <w:pPr>
        <w:widowControl w:val="0"/>
        <w:pBdr>
          <w:top w:val="nil"/>
          <w:left w:val="nil"/>
          <w:bottom w:val="nil"/>
          <w:right w:val="nil"/>
          <w:between w:val="nil"/>
        </w:pBdr>
        <w:spacing w:after="0" w:line="240" w:lineRule="auto"/>
        <w:ind w:right="23"/>
        <w:jc w:val="both"/>
        <w:rPr>
          <w:rFonts w:ascii="Arial" w:eastAsia="Times New Roman" w:hAnsi="Arial" w:cs="Arial"/>
          <w:b/>
          <w:bCs/>
          <w:color w:val="000000" w:themeColor="text1"/>
          <w:kern w:val="0"/>
          <w:sz w:val="24"/>
          <w:szCs w:val="24"/>
          <w:lang w:val="es-ES" w:eastAsia="es-CO"/>
          <w14:ligatures w14:val="none"/>
        </w:rPr>
      </w:pPr>
    </w:p>
    <w:p w14:paraId="7EEF88DB" w14:textId="77777777" w:rsidR="004C6E9E" w:rsidRPr="004C6E9E" w:rsidRDefault="004C6E9E" w:rsidP="004C6E9E">
      <w:pPr>
        <w:widowControl w:val="0"/>
        <w:pBdr>
          <w:top w:val="nil"/>
          <w:left w:val="nil"/>
          <w:bottom w:val="nil"/>
          <w:right w:val="nil"/>
          <w:between w:val="nil"/>
        </w:pBdr>
        <w:spacing w:after="0" w:line="240" w:lineRule="auto"/>
        <w:ind w:right="23"/>
        <w:jc w:val="center"/>
        <w:rPr>
          <w:rFonts w:ascii="Arial" w:eastAsia="Times New Roman" w:hAnsi="Arial" w:cs="Arial"/>
          <w:b/>
          <w:bCs/>
          <w:color w:val="000000" w:themeColor="text1"/>
          <w:kern w:val="0"/>
          <w:sz w:val="24"/>
          <w:szCs w:val="24"/>
          <w:lang w:val="es-ES" w:eastAsia="es-CO"/>
          <w14:ligatures w14:val="none"/>
        </w:rPr>
      </w:pPr>
      <w:r w:rsidRPr="004C6E9E">
        <w:rPr>
          <w:rFonts w:ascii="Arial" w:eastAsia="Times New Roman" w:hAnsi="Arial" w:cs="Arial"/>
          <w:b/>
          <w:bCs/>
          <w:color w:val="000000" w:themeColor="text1"/>
          <w:kern w:val="0"/>
          <w:sz w:val="24"/>
          <w:szCs w:val="24"/>
          <w:lang w:val="es-ES" w:eastAsia="es-CO"/>
          <w14:ligatures w14:val="none"/>
        </w:rPr>
        <w:t>PUBLÍQUESE Y CUMPLASE</w:t>
      </w:r>
    </w:p>
    <w:p w14:paraId="466228E7" w14:textId="77777777" w:rsidR="004C6E9E" w:rsidRPr="004C6E9E" w:rsidRDefault="004C6E9E" w:rsidP="004C6E9E">
      <w:pPr>
        <w:widowControl w:val="0"/>
        <w:pBdr>
          <w:top w:val="nil"/>
          <w:left w:val="nil"/>
          <w:bottom w:val="nil"/>
          <w:right w:val="nil"/>
          <w:between w:val="nil"/>
        </w:pBdr>
        <w:spacing w:after="0" w:line="240" w:lineRule="auto"/>
        <w:ind w:right="23"/>
        <w:jc w:val="center"/>
        <w:rPr>
          <w:rFonts w:ascii="Arial" w:eastAsia="Times New Roman" w:hAnsi="Arial" w:cs="Arial"/>
          <w:b/>
          <w:bCs/>
          <w:color w:val="000000" w:themeColor="text1"/>
          <w:kern w:val="0"/>
          <w:sz w:val="24"/>
          <w:szCs w:val="24"/>
          <w:lang w:val="es-ES" w:eastAsia="es-CO"/>
          <w14:ligatures w14:val="none"/>
        </w:rPr>
      </w:pPr>
    </w:p>
    <w:p w14:paraId="3EC7FCC3" w14:textId="77777777" w:rsidR="004C6E9E" w:rsidRPr="004C6E9E" w:rsidRDefault="004C6E9E" w:rsidP="004C6E9E">
      <w:pPr>
        <w:widowControl w:val="0"/>
        <w:pBdr>
          <w:top w:val="nil"/>
          <w:left w:val="nil"/>
          <w:bottom w:val="nil"/>
          <w:right w:val="nil"/>
          <w:between w:val="nil"/>
        </w:pBdr>
        <w:spacing w:after="0" w:line="240" w:lineRule="auto"/>
        <w:ind w:right="23"/>
        <w:rPr>
          <w:rFonts w:ascii="Arial" w:eastAsia="Times New Roman" w:hAnsi="Arial" w:cs="Arial"/>
          <w:b/>
          <w:bCs/>
          <w:color w:val="000000" w:themeColor="text1"/>
          <w:kern w:val="0"/>
          <w:sz w:val="24"/>
          <w:szCs w:val="24"/>
          <w:lang w:val="es-ES" w:eastAsia="es-CO"/>
          <w14:ligatures w14:val="none"/>
        </w:rPr>
      </w:pPr>
    </w:p>
    <w:p w14:paraId="61EDC328" w14:textId="7A55C910" w:rsidR="0083135C" w:rsidRPr="004C6E9E" w:rsidRDefault="004C6E9E" w:rsidP="004C6E9E">
      <w:pPr>
        <w:widowControl w:val="0"/>
        <w:pBdr>
          <w:top w:val="nil"/>
          <w:left w:val="nil"/>
          <w:bottom w:val="nil"/>
          <w:right w:val="nil"/>
          <w:between w:val="nil"/>
        </w:pBdr>
        <w:spacing w:after="0" w:line="240" w:lineRule="auto"/>
        <w:ind w:right="23"/>
        <w:rPr>
          <w:rFonts w:ascii="Arial" w:eastAsia="Arial" w:hAnsi="Arial" w:cs="Arial"/>
          <w:bCs/>
          <w:i/>
          <w:iCs/>
          <w:color w:val="000000" w:themeColor="text1"/>
          <w:kern w:val="0"/>
          <w:sz w:val="24"/>
          <w:szCs w:val="24"/>
          <w:lang w:val="es-ES" w:eastAsia="es-CO"/>
          <w14:ligatures w14:val="none"/>
        </w:rPr>
      </w:pPr>
      <w:r>
        <w:rPr>
          <w:rFonts w:ascii="Arial" w:eastAsia="Times New Roman" w:hAnsi="Arial" w:cs="Arial"/>
          <w:bCs/>
          <w:color w:val="000000" w:themeColor="text1"/>
          <w:kern w:val="0"/>
          <w:sz w:val="24"/>
          <w:szCs w:val="24"/>
          <w:lang w:val="es-ES" w:eastAsia="es-CO"/>
          <w14:ligatures w14:val="none"/>
        </w:rPr>
        <w:t>Dado en Bogotá, D. C., a los __</w:t>
      </w:r>
      <w:r w:rsidRPr="004C6E9E">
        <w:rPr>
          <w:rFonts w:ascii="Arial" w:eastAsia="Times New Roman" w:hAnsi="Arial" w:cs="Arial"/>
          <w:bCs/>
          <w:color w:val="000000" w:themeColor="text1"/>
          <w:kern w:val="0"/>
          <w:sz w:val="24"/>
          <w:szCs w:val="24"/>
          <w:lang w:val="es-ES" w:eastAsia="es-CO"/>
          <w14:ligatures w14:val="none"/>
        </w:rPr>
        <w:t>días de</w:t>
      </w:r>
      <w:r>
        <w:rPr>
          <w:rFonts w:ascii="Arial" w:eastAsia="Times New Roman" w:hAnsi="Arial" w:cs="Arial"/>
          <w:bCs/>
          <w:color w:val="000000" w:themeColor="text1"/>
          <w:kern w:val="0"/>
          <w:sz w:val="24"/>
          <w:szCs w:val="24"/>
          <w:lang w:val="es-ES" w:eastAsia="es-CO"/>
          <w14:ligatures w14:val="none"/>
        </w:rPr>
        <w:t>l mes de ____</w:t>
      </w:r>
      <w:r w:rsidRPr="004C6E9E">
        <w:rPr>
          <w:rFonts w:ascii="Arial" w:eastAsia="Times New Roman" w:hAnsi="Arial" w:cs="Arial"/>
          <w:bCs/>
          <w:color w:val="000000" w:themeColor="text1"/>
          <w:kern w:val="0"/>
          <w:sz w:val="24"/>
          <w:szCs w:val="24"/>
          <w:lang w:val="es-ES" w:eastAsia="es-CO"/>
          <w14:ligatures w14:val="none"/>
        </w:rPr>
        <w:t>de dos mil veinticinco (2025).</w:t>
      </w:r>
    </w:p>
    <w:p w14:paraId="0D07553C" w14:textId="77777777" w:rsidR="004C6E9E" w:rsidRDefault="004C6E9E" w:rsidP="00C140D7">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p>
    <w:p w14:paraId="0B518FA9" w14:textId="244AC56F" w:rsidR="00A13191" w:rsidRDefault="00A13191" w:rsidP="00C140D7">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r w:rsidRPr="00551587">
        <w:rPr>
          <w:rFonts w:ascii="Arial" w:eastAsia="Arial" w:hAnsi="Arial" w:cs="Arial"/>
          <w:bCs/>
          <w:i/>
          <w:iCs/>
          <w:color w:val="000000" w:themeColor="text1"/>
          <w:kern w:val="0"/>
          <w:sz w:val="16"/>
          <w:szCs w:val="16"/>
          <w:lang w:val="es-ES" w:eastAsia="es-CO"/>
          <w14:ligatures w14:val="none"/>
        </w:rPr>
        <w:t xml:space="preserve">Elaboró: Camilo </w:t>
      </w:r>
      <w:r w:rsidR="004C6E9E">
        <w:rPr>
          <w:rFonts w:ascii="Arial" w:eastAsia="Arial" w:hAnsi="Arial" w:cs="Arial"/>
          <w:bCs/>
          <w:i/>
          <w:iCs/>
          <w:color w:val="000000" w:themeColor="text1"/>
          <w:kern w:val="0"/>
          <w:sz w:val="16"/>
          <w:szCs w:val="16"/>
          <w:lang w:val="es-ES" w:eastAsia="es-CO"/>
          <w14:ligatures w14:val="none"/>
        </w:rPr>
        <w:t xml:space="preserve">Andrés </w:t>
      </w:r>
      <w:r w:rsidRPr="00551587">
        <w:rPr>
          <w:rFonts w:ascii="Arial" w:eastAsia="Arial" w:hAnsi="Arial" w:cs="Arial"/>
          <w:bCs/>
          <w:i/>
          <w:iCs/>
          <w:color w:val="000000" w:themeColor="text1"/>
          <w:kern w:val="0"/>
          <w:sz w:val="16"/>
          <w:szCs w:val="16"/>
          <w:lang w:val="es-ES" w:eastAsia="es-CO"/>
          <w14:ligatures w14:val="none"/>
        </w:rPr>
        <w:t>Sotelo</w:t>
      </w:r>
      <w:r w:rsidR="004C6E9E">
        <w:rPr>
          <w:rFonts w:ascii="Arial" w:eastAsia="Arial" w:hAnsi="Arial" w:cs="Arial"/>
          <w:bCs/>
          <w:i/>
          <w:iCs/>
          <w:color w:val="000000" w:themeColor="text1"/>
          <w:kern w:val="0"/>
          <w:sz w:val="16"/>
          <w:szCs w:val="16"/>
          <w:lang w:val="es-ES" w:eastAsia="es-CO"/>
          <w14:ligatures w14:val="none"/>
        </w:rPr>
        <w:t xml:space="preserve"> Ch.</w:t>
      </w:r>
    </w:p>
    <w:p w14:paraId="638504EC" w14:textId="205F3F6D" w:rsidR="004C6E9E" w:rsidRPr="00551587" w:rsidRDefault="004C6E9E" w:rsidP="00C140D7">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r>
        <w:rPr>
          <w:rFonts w:ascii="Arial" w:eastAsia="Arial" w:hAnsi="Arial" w:cs="Arial"/>
          <w:bCs/>
          <w:i/>
          <w:iCs/>
          <w:color w:val="000000" w:themeColor="text1"/>
          <w:kern w:val="0"/>
          <w:sz w:val="16"/>
          <w:szCs w:val="16"/>
          <w:lang w:val="es-ES" w:eastAsia="es-CO"/>
          <w14:ligatures w14:val="none"/>
        </w:rPr>
        <w:t>Revisó: N/A</w:t>
      </w:r>
    </w:p>
    <w:p w14:paraId="6EAB51B0" w14:textId="440DE34A" w:rsidR="00DD01FB" w:rsidRPr="00551587" w:rsidRDefault="00DD01FB" w:rsidP="00C140D7">
      <w:pPr>
        <w:widowControl w:val="0"/>
        <w:pBdr>
          <w:top w:val="nil"/>
          <w:left w:val="nil"/>
          <w:bottom w:val="nil"/>
          <w:right w:val="nil"/>
          <w:between w:val="nil"/>
        </w:pBdr>
        <w:spacing w:after="0" w:line="240" w:lineRule="auto"/>
        <w:ind w:right="23"/>
        <w:jc w:val="both"/>
        <w:rPr>
          <w:rFonts w:ascii="Arial" w:eastAsia="Arial" w:hAnsi="Arial" w:cs="Arial"/>
          <w:bCs/>
          <w:i/>
          <w:iCs/>
          <w:color w:val="000000" w:themeColor="text1"/>
          <w:kern w:val="0"/>
          <w:sz w:val="16"/>
          <w:szCs w:val="16"/>
          <w:lang w:val="es-ES" w:eastAsia="es-CO"/>
          <w14:ligatures w14:val="none"/>
        </w:rPr>
      </w:pPr>
    </w:p>
    <w:sectPr w:rsidR="00DD01FB" w:rsidRPr="00551587" w:rsidSect="00D25548">
      <w:headerReference w:type="default" r:id="rId9"/>
      <w:pgSz w:w="12240" w:h="15840" w:code="1"/>
      <w:pgMar w:top="1701"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3DD2" w14:textId="77777777" w:rsidR="00AF7C42" w:rsidRDefault="00AF7C42" w:rsidP="00E71913">
      <w:pPr>
        <w:spacing w:after="0" w:line="240" w:lineRule="auto"/>
      </w:pPr>
      <w:r>
        <w:separator/>
      </w:r>
    </w:p>
  </w:endnote>
  <w:endnote w:type="continuationSeparator" w:id="0">
    <w:p w14:paraId="3D39C5BB" w14:textId="77777777" w:rsidR="00AF7C42" w:rsidRDefault="00AF7C42" w:rsidP="00E7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587F4" w14:textId="77777777" w:rsidR="00AF7C42" w:rsidRDefault="00AF7C42" w:rsidP="00E71913">
      <w:pPr>
        <w:spacing w:after="0" w:line="240" w:lineRule="auto"/>
      </w:pPr>
      <w:r>
        <w:separator/>
      </w:r>
    </w:p>
  </w:footnote>
  <w:footnote w:type="continuationSeparator" w:id="0">
    <w:p w14:paraId="47E5ADB3" w14:textId="77777777" w:rsidR="00AF7C42" w:rsidRDefault="00AF7C42" w:rsidP="00E71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0" w:type="dxa"/>
        <w:right w:w="70" w:type="dxa"/>
      </w:tblCellMar>
      <w:tblLook w:val="0000" w:firstRow="0" w:lastRow="0" w:firstColumn="0" w:lastColumn="0" w:noHBand="0" w:noVBand="0"/>
    </w:tblPr>
    <w:tblGrid>
      <w:gridCol w:w="2361"/>
      <w:gridCol w:w="4234"/>
      <w:gridCol w:w="2233"/>
    </w:tblGrid>
    <w:tr w:rsidR="00E71913" w:rsidRPr="00C07995" w14:paraId="1E7C282B" w14:textId="77777777" w:rsidTr="009B50C2">
      <w:trPr>
        <w:trHeight w:val="454"/>
      </w:trPr>
      <w:tc>
        <w:tcPr>
          <w:tcW w:w="1337" w:type="pct"/>
          <w:vMerge w:val="restart"/>
          <w:tcBorders>
            <w:top w:val="single" w:sz="4" w:space="0" w:color="auto"/>
            <w:left w:val="single" w:sz="4" w:space="0" w:color="auto"/>
            <w:right w:val="single" w:sz="4" w:space="0" w:color="auto"/>
          </w:tcBorders>
          <w:vAlign w:val="center"/>
        </w:tcPr>
        <w:p w14:paraId="26B92D5D" w14:textId="77777777" w:rsidR="00E71913" w:rsidRPr="00920985" w:rsidRDefault="00E71913" w:rsidP="00E71913">
          <w:pPr>
            <w:jc w:val="center"/>
            <w:rPr>
              <w:rFonts w:cs="Arial"/>
              <w:sz w:val="16"/>
              <w:szCs w:val="16"/>
            </w:rPr>
          </w:pPr>
          <w:r w:rsidRPr="00D4338D">
            <w:rPr>
              <w:noProof/>
              <w:lang w:eastAsia="es-CO"/>
            </w:rPr>
            <w:drawing>
              <wp:anchor distT="0" distB="0" distL="114300" distR="114300" simplePos="0" relativeHeight="251659264" behindDoc="1" locked="0" layoutInCell="1" allowOverlap="1" wp14:anchorId="13FDBFD2" wp14:editId="08B495E3">
                <wp:simplePos x="0" y="0"/>
                <wp:positionH relativeFrom="column">
                  <wp:posOffset>194945</wp:posOffset>
                </wp:positionH>
                <wp:positionV relativeFrom="paragraph">
                  <wp:posOffset>-5080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90E1943" w14:textId="77777777" w:rsidR="00E71913" w:rsidRPr="00C07995" w:rsidRDefault="00E71913" w:rsidP="00E71913">
          <w:pPr>
            <w:jc w:val="center"/>
            <w:rPr>
              <w:rFonts w:ascii="Arial" w:hAnsi="Arial" w:cs="Arial"/>
              <w:sz w:val="18"/>
              <w:szCs w:val="18"/>
            </w:rPr>
          </w:pPr>
          <w:r w:rsidRPr="00C07995">
            <w:rPr>
              <w:rFonts w:ascii="Arial" w:hAnsi="Arial"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CEBD5F7" w14:textId="77777777" w:rsidR="00E71913" w:rsidRPr="00C07995" w:rsidRDefault="00E71913" w:rsidP="00E71913">
          <w:pPr>
            <w:rPr>
              <w:rFonts w:ascii="Arial" w:hAnsi="Arial" w:cs="Arial"/>
              <w:sz w:val="18"/>
              <w:szCs w:val="18"/>
            </w:rPr>
          </w:pPr>
          <w:r w:rsidRPr="00C07995">
            <w:rPr>
              <w:rFonts w:ascii="Arial" w:hAnsi="Arial" w:cs="Arial"/>
              <w:sz w:val="18"/>
              <w:szCs w:val="18"/>
            </w:rPr>
            <w:t>CÓDIGO</w:t>
          </w:r>
          <w:r w:rsidRPr="00C07995">
            <w:rPr>
              <w:rFonts w:ascii="Arial" w:hAnsi="Arial" w:cs="Arial"/>
              <w:color w:val="3366FF"/>
              <w:sz w:val="18"/>
              <w:szCs w:val="18"/>
            </w:rPr>
            <w:t xml:space="preserve">: </w:t>
          </w:r>
          <w:r w:rsidRPr="00C07995">
            <w:rPr>
              <w:rFonts w:ascii="Arial" w:hAnsi="Arial" w:cs="Arial"/>
              <w:sz w:val="18"/>
              <w:szCs w:val="18"/>
            </w:rPr>
            <w:t>GNV-FO-001</w:t>
          </w:r>
        </w:p>
      </w:tc>
    </w:tr>
    <w:tr w:rsidR="00E71913" w:rsidRPr="00C07995" w14:paraId="0E549691" w14:textId="77777777" w:rsidTr="009B50C2">
      <w:trPr>
        <w:trHeight w:val="454"/>
      </w:trPr>
      <w:tc>
        <w:tcPr>
          <w:tcW w:w="1337" w:type="pct"/>
          <w:vMerge/>
          <w:tcBorders>
            <w:left w:val="single" w:sz="4" w:space="0" w:color="auto"/>
            <w:right w:val="single" w:sz="4" w:space="0" w:color="auto"/>
          </w:tcBorders>
          <w:vAlign w:val="center"/>
        </w:tcPr>
        <w:p w14:paraId="1C1DBF62" w14:textId="77777777" w:rsidR="00E71913" w:rsidRDefault="00E71913" w:rsidP="00E71913">
          <w:pPr>
            <w:rPr>
              <w:rFonts w:cs="Arial"/>
              <w:sz w:val="16"/>
              <w:szCs w:val="16"/>
            </w:rPr>
          </w:pPr>
        </w:p>
      </w:tc>
      <w:tc>
        <w:tcPr>
          <w:tcW w:w="2398" w:type="pct"/>
          <w:vMerge w:val="restart"/>
          <w:tcBorders>
            <w:top w:val="single" w:sz="4" w:space="0" w:color="auto"/>
            <w:left w:val="nil"/>
            <w:right w:val="single" w:sz="4" w:space="0" w:color="auto"/>
          </w:tcBorders>
          <w:vAlign w:val="center"/>
        </w:tcPr>
        <w:p w14:paraId="3C43CA33" w14:textId="77777777" w:rsidR="00E71913" w:rsidRPr="00C07995" w:rsidRDefault="00E71913" w:rsidP="00E71913">
          <w:pPr>
            <w:jc w:val="center"/>
            <w:rPr>
              <w:rFonts w:ascii="Arial" w:hAnsi="Arial" w:cs="Arial"/>
              <w:sz w:val="18"/>
              <w:szCs w:val="18"/>
            </w:rPr>
          </w:pPr>
          <w:r w:rsidRPr="00C07995">
            <w:rPr>
              <w:rFonts w:ascii="Arial" w:hAnsi="Arial" w:cs="Arial"/>
              <w:sz w:val="18"/>
              <w:szCs w:val="18"/>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0FB0D7D4" w14:textId="77777777" w:rsidR="00E71913" w:rsidRPr="00C07995" w:rsidRDefault="00E71913" w:rsidP="00E71913">
          <w:pPr>
            <w:rPr>
              <w:rFonts w:ascii="Arial" w:hAnsi="Arial" w:cs="Arial"/>
              <w:sz w:val="18"/>
              <w:szCs w:val="18"/>
            </w:rPr>
          </w:pPr>
          <w:r w:rsidRPr="00C07995">
            <w:rPr>
              <w:rFonts w:ascii="Arial" w:hAnsi="Arial" w:cs="Arial"/>
              <w:sz w:val="18"/>
              <w:szCs w:val="18"/>
            </w:rPr>
            <w:t>VERSIÓN:    02</w:t>
          </w:r>
        </w:p>
      </w:tc>
    </w:tr>
    <w:tr w:rsidR="00E71913" w:rsidRPr="00C07995" w14:paraId="693AE8B1" w14:textId="77777777" w:rsidTr="009B50C2">
      <w:trPr>
        <w:trHeight w:val="454"/>
      </w:trPr>
      <w:tc>
        <w:tcPr>
          <w:tcW w:w="1337" w:type="pct"/>
          <w:vMerge/>
          <w:tcBorders>
            <w:left w:val="single" w:sz="4" w:space="0" w:color="auto"/>
            <w:bottom w:val="single" w:sz="4" w:space="0" w:color="auto"/>
            <w:right w:val="single" w:sz="4" w:space="0" w:color="auto"/>
          </w:tcBorders>
          <w:vAlign w:val="center"/>
        </w:tcPr>
        <w:p w14:paraId="5E20F524" w14:textId="77777777" w:rsidR="00E71913" w:rsidRDefault="00E71913" w:rsidP="00E71913">
          <w:pPr>
            <w:rPr>
              <w:rFonts w:cs="Arial"/>
              <w:sz w:val="16"/>
              <w:szCs w:val="16"/>
            </w:rPr>
          </w:pPr>
        </w:p>
      </w:tc>
      <w:tc>
        <w:tcPr>
          <w:tcW w:w="2398" w:type="pct"/>
          <w:vMerge/>
          <w:tcBorders>
            <w:left w:val="nil"/>
            <w:bottom w:val="single" w:sz="4" w:space="0" w:color="auto"/>
            <w:right w:val="single" w:sz="4" w:space="0" w:color="auto"/>
          </w:tcBorders>
          <w:vAlign w:val="center"/>
        </w:tcPr>
        <w:p w14:paraId="31695652" w14:textId="77777777" w:rsidR="00E71913" w:rsidRPr="00C07995" w:rsidRDefault="00E71913" w:rsidP="00E71913">
          <w:pPr>
            <w:jc w:val="center"/>
            <w:rPr>
              <w:rFonts w:ascii="Arial" w:hAnsi="Arial"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1216560" w14:textId="77777777" w:rsidR="00E71913" w:rsidRPr="00C07995" w:rsidRDefault="00E71913" w:rsidP="00E71913">
          <w:pPr>
            <w:rPr>
              <w:rFonts w:ascii="Arial" w:hAnsi="Arial" w:cs="Arial"/>
              <w:sz w:val="18"/>
              <w:szCs w:val="18"/>
            </w:rPr>
          </w:pPr>
          <w:r w:rsidRPr="00C07995">
            <w:rPr>
              <w:rFonts w:ascii="Arial" w:hAnsi="Arial" w:cs="Arial"/>
              <w:sz w:val="18"/>
              <w:szCs w:val="18"/>
            </w:rPr>
            <w:t>FECHA: 14-Nov-2019</w:t>
          </w:r>
        </w:p>
      </w:tc>
    </w:tr>
  </w:tbl>
  <w:p w14:paraId="3FD10A07" w14:textId="77777777" w:rsidR="00E71913" w:rsidRDefault="00E71913">
    <w:pPr>
      <w:pStyle w:val="Encabezado"/>
    </w:pPr>
  </w:p>
  <w:p w14:paraId="2C9C7320" w14:textId="77777777" w:rsidR="00E71913" w:rsidRDefault="00E7191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6ED1"/>
    <w:multiLevelType w:val="hybridMultilevel"/>
    <w:tmpl w:val="592EB856"/>
    <w:lvl w:ilvl="0" w:tplc="4910485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382CE2"/>
    <w:multiLevelType w:val="hybridMultilevel"/>
    <w:tmpl w:val="6F6AB930"/>
    <w:lvl w:ilvl="0" w:tplc="FFFFFFFF">
      <w:start w:val="1"/>
      <w:numFmt w:val="upperRoman"/>
      <w:lvlText w:val="%1."/>
      <w:lvlJc w:val="left"/>
      <w:pPr>
        <w:ind w:left="1080" w:hanging="720"/>
      </w:pPr>
      <w:rPr>
        <w:rFonts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2F0835"/>
    <w:multiLevelType w:val="hybridMultilevel"/>
    <w:tmpl w:val="C43A7D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8D5B36"/>
    <w:multiLevelType w:val="hybridMultilevel"/>
    <w:tmpl w:val="6900A0EA"/>
    <w:lvl w:ilvl="0" w:tplc="013259B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4213526"/>
    <w:multiLevelType w:val="hybridMultilevel"/>
    <w:tmpl w:val="827E8B8C"/>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7"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2A224D7"/>
    <w:multiLevelType w:val="hybridMultilevel"/>
    <w:tmpl w:val="119CD3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12656F"/>
    <w:multiLevelType w:val="hybridMultilevel"/>
    <w:tmpl w:val="35E60766"/>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0" w15:restartNumberingAfterBreak="0">
    <w:nsid w:val="358C08CF"/>
    <w:multiLevelType w:val="hybridMultilevel"/>
    <w:tmpl w:val="810C25E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AEB081E"/>
    <w:multiLevelType w:val="hybridMultilevel"/>
    <w:tmpl w:val="AD5C403A"/>
    <w:lvl w:ilvl="0" w:tplc="EF5E94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B73751C"/>
    <w:multiLevelType w:val="hybridMultilevel"/>
    <w:tmpl w:val="EF86A7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56F7364"/>
    <w:multiLevelType w:val="hybridMultilevel"/>
    <w:tmpl w:val="314CB052"/>
    <w:lvl w:ilvl="0" w:tplc="040A0001">
      <w:start w:val="1"/>
      <w:numFmt w:val="bullet"/>
      <w:lvlText w:val=""/>
      <w:lvlJc w:val="left"/>
      <w:pPr>
        <w:ind w:left="726" w:hanging="360"/>
      </w:pPr>
      <w:rPr>
        <w:rFonts w:ascii="Symbol" w:hAnsi="Symbol" w:hint="default"/>
      </w:rPr>
    </w:lvl>
    <w:lvl w:ilvl="1" w:tplc="040A0003">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4" w15:restartNumberingAfterBreak="0">
    <w:nsid w:val="48DD12F1"/>
    <w:multiLevelType w:val="hybridMultilevel"/>
    <w:tmpl w:val="F6C6C890"/>
    <w:lvl w:ilvl="0" w:tplc="50CE896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7E25341"/>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9E42085"/>
    <w:multiLevelType w:val="hybridMultilevel"/>
    <w:tmpl w:val="605E5736"/>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0BD5CB3"/>
    <w:multiLevelType w:val="hybridMultilevel"/>
    <w:tmpl w:val="9266C8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4244FC7"/>
    <w:multiLevelType w:val="hybridMultilevel"/>
    <w:tmpl w:val="6F6AB930"/>
    <w:lvl w:ilvl="0" w:tplc="FFFFFFFF">
      <w:start w:val="1"/>
      <w:numFmt w:val="upperRoman"/>
      <w:lvlText w:val="%1."/>
      <w:lvlJc w:val="left"/>
      <w:pPr>
        <w:ind w:left="1080" w:hanging="720"/>
      </w:pPr>
      <w:rPr>
        <w:rFonts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12"/>
  </w:num>
  <w:num w:numId="3">
    <w:abstractNumId w:val="13"/>
  </w:num>
  <w:num w:numId="4">
    <w:abstractNumId w:val="9"/>
  </w:num>
  <w:num w:numId="5">
    <w:abstractNumId w:val="19"/>
  </w:num>
  <w:num w:numId="6">
    <w:abstractNumId w:val="6"/>
  </w:num>
  <w:num w:numId="7">
    <w:abstractNumId w:val="11"/>
  </w:num>
  <w:num w:numId="8">
    <w:abstractNumId w:val="17"/>
  </w:num>
  <w:num w:numId="9">
    <w:abstractNumId w:val="4"/>
  </w:num>
  <w:num w:numId="10">
    <w:abstractNumId w:val="20"/>
  </w:num>
  <w:num w:numId="11">
    <w:abstractNumId w:val="3"/>
  </w:num>
  <w:num w:numId="12">
    <w:abstractNumId w:val="2"/>
  </w:num>
  <w:num w:numId="13">
    <w:abstractNumId w:val="21"/>
  </w:num>
  <w:num w:numId="14">
    <w:abstractNumId w:val="8"/>
  </w:num>
  <w:num w:numId="15">
    <w:abstractNumId w:val="0"/>
  </w:num>
  <w:num w:numId="16">
    <w:abstractNumId w:val="18"/>
  </w:num>
  <w:num w:numId="17">
    <w:abstractNumId w:val="5"/>
  </w:num>
  <w:num w:numId="18">
    <w:abstractNumId w:val="10"/>
  </w:num>
  <w:num w:numId="19">
    <w:abstractNumId w:val="14"/>
  </w:num>
  <w:num w:numId="20">
    <w:abstractNumId w:val="1"/>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543"/>
    <w:rsid w:val="00002A41"/>
    <w:rsid w:val="00002FCE"/>
    <w:rsid w:val="00003326"/>
    <w:rsid w:val="00003435"/>
    <w:rsid w:val="00006B68"/>
    <w:rsid w:val="00012113"/>
    <w:rsid w:val="00014079"/>
    <w:rsid w:val="00016F4A"/>
    <w:rsid w:val="00020AFB"/>
    <w:rsid w:val="00024699"/>
    <w:rsid w:val="0003474B"/>
    <w:rsid w:val="0004080C"/>
    <w:rsid w:val="00045928"/>
    <w:rsid w:val="00051CCC"/>
    <w:rsid w:val="00052EE1"/>
    <w:rsid w:val="00054623"/>
    <w:rsid w:val="000614CB"/>
    <w:rsid w:val="0006785E"/>
    <w:rsid w:val="00072DD2"/>
    <w:rsid w:val="000919A1"/>
    <w:rsid w:val="000A6576"/>
    <w:rsid w:val="000C3B6B"/>
    <w:rsid w:val="000C7B5E"/>
    <w:rsid w:val="000E3386"/>
    <w:rsid w:val="000E5945"/>
    <w:rsid w:val="000F0CE2"/>
    <w:rsid w:val="000F0EA4"/>
    <w:rsid w:val="000F515E"/>
    <w:rsid w:val="00105DFB"/>
    <w:rsid w:val="00121FEB"/>
    <w:rsid w:val="00127BB3"/>
    <w:rsid w:val="001405F1"/>
    <w:rsid w:val="0014383D"/>
    <w:rsid w:val="0014654A"/>
    <w:rsid w:val="0015319C"/>
    <w:rsid w:val="00156A60"/>
    <w:rsid w:val="00156CE3"/>
    <w:rsid w:val="0016754D"/>
    <w:rsid w:val="00173B5B"/>
    <w:rsid w:val="00195B70"/>
    <w:rsid w:val="001B16A8"/>
    <w:rsid w:val="001C58DE"/>
    <w:rsid w:val="001F0108"/>
    <w:rsid w:val="001F0A5E"/>
    <w:rsid w:val="001F17DB"/>
    <w:rsid w:val="001F4E77"/>
    <w:rsid w:val="00204553"/>
    <w:rsid w:val="00204D5F"/>
    <w:rsid w:val="002054F3"/>
    <w:rsid w:val="0020558D"/>
    <w:rsid w:val="00223890"/>
    <w:rsid w:val="00231227"/>
    <w:rsid w:val="00235412"/>
    <w:rsid w:val="00247785"/>
    <w:rsid w:val="002506DF"/>
    <w:rsid w:val="00262535"/>
    <w:rsid w:val="00267617"/>
    <w:rsid w:val="002721C0"/>
    <w:rsid w:val="00276A47"/>
    <w:rsid w:val="002965BF"/>
    <w:rsid w:val="002A7E50"/>
    <w:rsid w:val="002B6A23"/>
    <w:rsid w:val="002C6B1C"/>
    <w:rsid w:val="002E000D"/>
    <w:rsid w:val="002E4D55"/>
    <w:rsid w:val="0030363C"/>
    <w:rsid w:val="003077EA"/>
    <w:rsid w:val="0031111A"/>
    <w:rsid w:val="0033423A"/>
    <w:rsid w:val="00340BAC"/>
    <w:rsid w:val="00341B2C"/>
    <w:rsid w:val="0036618F"/>
    <w:rsid w:val="00370393"/>
    <w:rsid w:val="00377DFB"/>
    <w:rsid w:val="003813C6"/>
    <w:rsid w:val="0038411E"/>
    <w:rsid w:val="0038630F"/>
    <w:rsid w:val="00387543"/>
    <w:rsid w:val="00387F79"/>
    <w:rsid w:val="0039344D"/>
    <w:rsid w:val="003A5B65"/>
    <w:rsid w:val="003B6370"/>
    <w:rsid w:val="003C6482"/>
    <w:rsid w:val="003D2888"/>
    <w:rsid w:val="00402D1C"/>
    <w:rsid w:val="00406886"/>
    <w:rsid w:val="004136F6"/>
    <w:rsid w:val="00422ABF"/>
    <w:rsid w:val="00426671"/>
    <w:rsid w:val="00445B4D"/>
    <w:rsid w:val="00447BC5"/>
    <w:rsid w:val="00452378"/>
    <w:rsid w:val="00467863"/>
    <w:rsid w:val="00472C25"/>
    <w:rsid w:val="004839E2"/>
    <w:rsid w:val="0049345E"/>
    <w:rsid w:val="00496F8B"/>
    <w:rsid w:val="0049709B"/>
    <w:rsid w:val="004A7944"/>
    <w:rsid w:val="004B3CE3"/>
    <w:rsid w:val="004C4D11"/>
    <w:rsid w:val="004C6E9E"/>
    <w:rsid w:val="004D3390"/>
    <w:rsid w:val="004D7E85"/>
    <w:rsid w:val="004E7946"/>
    <w:rsid w:val="0050331F"/>
    <w:rsid w:val="005038BC"/>
    <w:rsid w:val="005068CA"/>
    <w:rsid w:val="00513902"/>
    <w:rsid w:val="005243EF"/>
    <w:rsid w:val="00526003"/>
    <w:rsid w:val="00533578"/>
    <w:rsid w:val="00544703"/>
    <w:rsid w:val="00550610"/>
    <w:rsid w:val="00551587"/>
    <w:rsid w:val="00552919"/>
    <w:rsid w:val="00556110"/>
    <w:rsid w:val="0056041C"/>
    <w:rsid w:val="00565E1E"/>
    <w:rsid w:val="00581A68"/>
    <w:rsid w:val="00596269"/>
    <w:rsid w:val="005A0D96"/>
    <w:rsid w:val="005A642B"/>
    <w:rsid w:val="005B1C86"/>
    <w:rsid w:val="005B72DB"/>
    <w:rsid w:val="005E020C"/>
    <w:rsid w:val="005E042A"/>
    <w:rsid w:val="005E1B80"/>
    <w:rsid w:val="005E2D2E"/>
    <w:rsid w:val="005E3F62"/>
    <w:rsid w:val="005E5F64"/>
    <w:rsid w:val="005E62AF"/>
    <w:rsid w:val="005F636E"/>
    <w:rsid w:val="005F72B4"/>
    <w:rsid w:val="00602B03"/>
    <w:rsid w:val="006045F0"/>
    <w:rsid w:val="00621C9B"/>
    <w:rsid w:val="0062279D"/>
    <w:rsid w:val="00622F3E"/>
    <w:rsid w:val="00626ACF"/>
    <w:rsid w:val="006301E4"/>
    <w:rsid w:val="006321F3"/>
    <w:rsid w:val="00635814"/>
    <w:rsid w:val="00637955"/>
    <w:rsid w:val="006402FC"/>
    <w:rsid w:val="0065044E"/>
    <w:rsid w:val="006553D0"/>
    <w:rsid w:val="00657DDB"/>
    <w:rsid w:val="00673B87"/>
    <w:rsid w:val="00675347"/>
    <w:rsid w:val="00682A52"/>
    <w:rsid w:val="00696B61"/>
    <w:rsid w:val="00697654"/>
    <w:rsid w:val="006A0891"/>
    <w:rsid w:val="006A0D2D"/>
    <w:rsid w:val="006A3337"/>
    <w:rsid w:val="006D4521"/>
    <w:rsid w:val="006E4A2A"/>
    <w:rsid w:val="00722A13"/>
    <w:rsid w:val="00736B23"/>
    <w:rsid w:val="00740847"/>
    <w:rsid w:val="00744A60"/>
    <w:rsid w:val="00760719"/>
    <w:rsid w:val="007651C6"/>
    <w:rsid w:val="00783E11"/>
    <w:rsid w:val="007B35F9"/>
    <w:rsid w:val="007B4641"/>
    <w:rsid w:val="007F1528"/>
    <w:rsid w:val="007F1B7D"/>
    <w:rsid w:val="00815BBC"/>
    <w:rsid w:val="00816F6C"/>
    <w:rsid w:val="0083135C"/>
    <w:rsid w:val="008320AA"/>
    <w:rsid w:val="00834148"/>
    <w:rsid w:val="0087484A"/>
    <w:rsid w:val="00893113"/>
    <w:rsid w:val="0089352D"/>
    <w:rsid w:val="008B34B8"/>
    <w:rsid w:val="008B7D41"/>
    <w:rsid w:val="008D2A3E"/>
    <w:rsid w:val="008E5C68"/>
    <w:rsid w:val="00907E57"/>
    <w:rsid w:val="00917AE7"/>
    <w:rsid w:val="0092669B"/>
    <w:rsid w:val="00933A4B"/>
    <w:rsid w:val="00933BF2"/>
    <w:rsid w:val="00937BF7"/>
    <w:rsid w:val="0094067C"/>
    <w:rsid w:val="00941810"/>
    <w:rsid w:val="0094255C"/>
    <w:rsid w:val="00947F90"/>
    <w:rsid w:val="00974EDD"/>
    <w:rsid w:val="009856A0"/>
    <w:rsid w:val="00990265"/>
    <w:rsid w:val="00991280"/>
    <w:rsid w:val="009A2966"/>
    <w:rsid w:val="009B346D"/>
    <w:rsid w:val="009C4740"/>
    <w:rsid w:val="009D00BF"/>
    <w:rsid w:val="009D35FA"/>
    <w:rsid w:val="009D3A9C"/>
    <w:rsid w:val="009E0749"/>
    <w:rsid w:val="009E2967"/>
    <w:rsid w:val="009E59D0"/>
    <w:rsid w:val="009E65C8"/>
    <w:rsid w:val="009F01BB"/>
    <w:rsid w:val="00A003B5"/>
    <w:rsid w:val="00A0322B"/>
    <w:rsid w:val="00A12266"/>
    <w:rsid w:val="00A13191"/>
    <w:rsid w:val="00A13346"/>
    <w:rsid w:val="00A1570F"/>
    <w:rsid w:val="00A27F8C"/>
    <w:rsid w:val="00A34D15"/>
    <w:rsid w:val="00A41A6A"/>
    <w:rsid w:val="00A473E3"/>
    <w:rsid w:val="00A5082A"/>
    <w:rsid w:val="00A544D3"/>
    <w:rsid w:val="00A716AF"/>
    <w:rsid w:val="00A776D5"/>
    <w:rsid w:val="00A85905"/>
    <w:rsid w:val="00A92CE9"/>
    <w:rsid w:val="00A95215"/>
    <w:rsid w:val="00A95A35"/>
    <w:rsid w:val="00AA11EA"/>
    <w:rsid w:val="00AB1AC9"/>
    <w:rsid w:val="00AB1B0B"/>
    <w:rsid w:val="00AB2870"/>
    <w:rsid w:val="00AB5ABD"/>
    <w:rsid w:val="00AC075D"/>
    <w:rsid w:val="00AC208A"/>
    <w:rsid w:val="00AC4EFC"/>
    <w:rsid w:val="00AD218E"/>
    <w:rsid w:val="00AE434F"/>
    <w:rsid w:val="00AF4F5C"/>
    <w:rsid w:val="00AF65B7"/>
    <w:rsid w:val="00AF7C42"/>
    <w:rsid w:val="00B04503"/>
    <w:rsid w:val="00B137CE"/>
    <w:rsid w:val="00B21C46"/>
    <w:rsid w:val="00B31D41"/>
    <w:rsid w:val="00B35A6E"/>
    <w:rsid w:val="00B429C3"/>
    <w:rsid w:val="00B50BA1"/>
    <w:rsid w:val="00B50C41"/>
    <w:rsid w:val="00B5533D"/>
    <w:rsid w:val="00B6125E"/>
    <w:rsid w:val="00B803A4"/>
    <w:rsid w:val="00B84342"/>
    <w:rsid w:val="00BE02AA"/>
    <w:rsid w:val="00BF2329"/>
    <w:rsid w:val="00C140D7"/>
    <w:rsid w:val="00C17A19"/>
    <w:rsid w:val="00C3183E"/>
    <w:rsid w:val="00C421EC"/>
    <w:rsid w:val="00C51DF7"/>
    <w:rsid w:val="00C65889"/>
    <w:rsid w:val="00C727F5"/>
    <w:rsid w:val="00C85247"/>
    <w:rsid w:val="00C85E45"/>
    <w:rsid w:val="00C97DA0"/>
    <w:rsid w:val="00CC0E22"/>
    <w:rsid w:val="00CD273D"/>
    <w:rsid w:val="00D011A1"/>
    <w:rsid w:val="00D10676"/>
    <w:rsid w:val="00D25548"/>
    <w:rsid w:val="00D27021"/>
    <w:rsid w:val="00D47E81"/>
    <w:rsid w:val="00D61B5E"/>
    <w:rsid w:val="00D63AAF"/>
    <w:rsid w:val="00D73B54"/>
    <w:rsid w:val="00D73E55"/>
    <w:rsid w:val="00D83923"/>
    <w:rsid w:val="00D92D14"/>
    <w:rsid w:val="00D94F30"/>
    <w:rsid w:val="00DA513D"/>
    <w:rsid w:val="00DB542D"/>
    <w:rsid w:val="00DD01FB"/>
    <w:rsid w:val="00DD2C66"/>
    <w:rsid w:val="00DD6B5A"/>
    <w:rsid w:val="00DF1471"/>
    <w:rsid w:val="00DF19D1"/>
    <w:rsid w:val="00E00B40"/>
    <w:rsid w:val="00E317E8"/>
    <w:rsid w:val="00E55294"/>
    <w:rsid w:val="00E66BAB"/>
    <w:rsid w:val="00E71913"/>
    <w:rsid w:val="00E83FF9"/>
    <w:rsid w:val="00E843D9"/>
    <w:rsid w:val="00E8533D"/>
    <w:rsid w:val="00EA7372"/>
    <w:rsid w:val="00EB559E"/>
    <w:rsid w:val="00EC63DD"/>
    <w:rsid w:val="00ED0A9B"/>
    <w:rsid w:val="00EE10CC"/>
    <w:rsid w:val="00EE7D19"/>
    <w:rsid w:val="00F05937"/>
    <w:rsid w:val="00F17B46"/>
    <w:rsid w:val="00F23FF0"/>
    <w:rsid w:val="00F25895"/>
    <w:rsid w:val="00F26572"/>
    <w:rsid w:val="00F26CDA"/>
    <w:rsid w:val="00F41ABE"/>
    <w:rsid w:val="00F47AEB"/>
    <w:rsid w:val="00F624A8"/>
    <w:rsid w:val="00F6268C"/>
    <w:rsid w:val="00F66F22"/>
    <w:rsid w:val="00F85AE4"/>
    <w:rsid w:val="00FA631C"/>
    <w:rsid w:val="00FB24E7"/>
    <w:rsid w:val="00FB303A"/>
    <w:rsid w:val="00FC0591"/>
    <w:rsid w:val="00FC6D90"/>
    <w:rsid w:val="00FD4D16"/>
    <w:rsid w:val="00FE2950"/>
    <w:rsid w:val="00FF0D82"/>
    <w:rsid w:val="00FF10EC"/>
    <w:rsid w:val="00FF36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C5A05"/>
  <w15:chartTrackingRefBased/>
  <w15:docId w15:val="{5ECB0EE6-1879-4717-B86A-772726FC8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D9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rsid w:val="00A003B5"/>
    <w:rPr>
      <w:rFonts w:cs="Times New Roman"/>
      <w:sz w:val="16"/>
    </w:rPr>
  </w:style>
  <w:style w:type="paragraph" w:styleId="Textocomentario">
    <w:name w:val="annotation text"/>
    <w:basedOn w:val="Normal"/>
    <w:link w:val="TextocomentarioCar"/>
    <w:uiPriority w:val="99"/>
    <w:semiHidden/>
    <w:rsid w:val="00A003B5"/>
    <w:pPr>
      <w:spacing w:after="0" w:line="240" w:lineRule="auto"/>
    </w:pPr>
    <w:rPr>
      <w:rFonts w:ascii="Arial" w:eastAsia="Times New Roman" w:hAnsi="Arial" w:cs="Times New Roman"/>
      <w:color w:val="000000"/>
      <w:kern w:val="0"/>
      <w:sz w:val="20"/>
      <w:szCs w:val="20"/>
      <w:lang w:val="es-ES" w:eastAsia="es-ES"/>
      <w14:ligatures w14:val="none"/>
    </w:rPr>
  </w:style>
  <w:style w:type="character" w:customStyle="1" w:styleId="TextocomentarioCar">
    <w:name w:val="Texto comentario Car"/>
    <w:basedOn w:val="Fuentedeprrafopredeter"/>
    <w:link w:val="Textocomentario"/>
    <w:uiPriority w:val="99"/>
    <w:semiHidden/>
    <w:rsid w:val="00A003B5"/>
    <w:rPr>
      <w:rFonts w:ascii="Arial" w:eastAsia="Times New Roman" w:hAnsi="Arial" w:cs="Times New Roman"/>
      <w:color w:val="000000"/>
      <w:kern w:val="0"/>
      <w:sz w:val="20"/>
      <w:szCs w:val="20"/>
      <w:lang w:val="es-ES" w:eastAsia="es-ES"/>
      <w14:ligatures w14:val="none"/>
    </w:rPr>
  </w:style>
  <w:style w:type="paragraph" w:styleId="Prrafodelista">
    <w:name w:val="List Paragraph"/>
    <w:basedOn w:val="Normal"/>
    <w:uiPriority w:val="1"/>
    <w:qFormat/>
    <w:rsid w:val="00A003B5"/>
    <w:pPr>
      <w:ind w:left="720"/>
      <w:contextualSpacing/>
    </w:pPr>
  </w:style>
  <w:style w:type="paragraph" w:styleId="Encabezado">
    <w:name w:val="header"/>
    <w:basedOn w:val="Normal"/>
    <w:link w:val="EncabezadoCar"/>
    <w:uiPriority w:val="99"/>
    <w:unhideWhenUsed/>
    <w:rsid w:val="00E719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1913"/>
  </w:style>
  <w:style w:type="paragraph" w:styleId="Piedepgina">
    <w:name w:val="footer"/>
    <w:basedOn w:val="Normal"/>
    <w:link w:val="PiedepginaCar"/>
    <w:uiPriority w:val="99"/>
    <w:unhideWhenUsed/>
    <w:rsid w:val="00E719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1913"/>
  </w:style>
  <w:style w:type="paragraph" w:styleId="Sinespaciado">
    <w:name w:val="No Spacing"/>
    <w:qFormat/>
    <w:rsid w:val="0031111A"/>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extoindependiente">
    <w:name w:val="Body Text"/>
    <w:basedOn w:val="Normal"/>
    <w:link w:val="TextoindependienteCar"/>
    <w:uiPriority w:val="1"/>
    <w:qFormat/>
    <w:rsid w:val="0031111A"/>
    <w:pPr>
      <w:widowControl w:val="0"/>
      <w:autoSpaceDE w:val="0"/>
      <w:autoSpaceDN w:val="0"/>
      <w:spacing w:after="0" w:line="240" w:lineRule="auto"/>
    </w:pPr>
    <w:rPr>
      <w:rFonts w:ascii="Arial" w:eastAsia="Arial" w:hAnsi="Arial" w:cs="Arial"/>
      <w:kern w:val="0"/>
      <w:lang w:val="es-ES"/>
      <w14:ligatures w14:val="none"/>
    </w:rPr>
  </w:style>
  <w:style w:type="character" w:customStyle="1" w:styleId="TextoindependienteCar">
    <w:name w:val="Texto independiente Car"/>
    <w:basedOn w:val="Fuentedeprrafopredeter"/>
    <w:link w:val="Textoindependiente"/>
    <w:uiPriority w:val="1"/>
    <w:rsid w:val="0031111A"/>
    <w:rPr>
      <w:rFonts w:ascii="Arial" w:eastAsia="Arial" w:hAnsi="Arial" w:cs="Arial"/>
      <w:kern w:val="0"/>
      <w:lang w:val="es-ES"/>
      <w14:ligatures w14:val="none"/>
    </w:rPr>
  </w:style>
  <w:style w:type="paragraph" w:styleId="NormalWeb">
    <w:name w:val="Normal (Web)"/>
    <w:basedOn w:val="Normal"/>
    <w:uiPriority w:val="99"/>
    <w:unhideWhenUsed/>
    <w:rsid w:val="0031111A"/>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apple-converted-space">
    <w:name w:val="apple-converted-space"/>
    <w:basedOn w:val="Fuentedeprrafopredeter"/>
    <w:rsid w:val="0031111A"/>
  </w:style>
  <w:style w:type="paragraph" w:customStyle="1" w:styleId="centrado">
    <w:name w:val="centrado"/>
    <w:basedOn w:val="Normal"/>
    <w:rsid w:val="0031111A"/>
    <w:pPr>
      <w:spacing w:before="100" w:beforeAutospacing="1" w:after="100" w:afterAutospacing="1"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baj">
    <w:name w:val="b_aj"/>
    <w:basedOn w:val="Fuentedeprrafopredeter"/>
    <w:rsid w:val="0031111A"/>
  </w:style>
  <w:style w:type="paragraph" w:styleId="Textodeglobo">
    <w:name w:val="Balloon Text"/>
    <w:basedOn w:val="Normal"/>
    <w:link w:val="TextodegloboCar"/>
    <w:uiPriority w:val="99"/>
    <w:semiHidden/>
    <w:unhideWhenUsed/>
    <w:rsid w:val="00105D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5D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74930">
      <w:bodyDiv w:val="1"/>
      <w:marLeft w:val="0"/>
      <w:marRight w:val="0"/>
      <w:marTop w:val="0"/>
      <w:marBottom w:val="0"/>
      <w:divBdr>
        <w:top w:val="none" w:sz="0" w:space="0" w:color="auto"/>
        <w:left w:val="none" w:sz="0" w:space="0" w:color="auto"/>
        <w:bottom w:val="none" w:sz="0" w:space="0" w:color="auto"/>
        <w:right w:val="none" w:sz="0" w:space="0" w:color="auto"/>
      </w:divBdr>
    </w:div>
    <w:div w:id="151530874">
      <w:bodyDiv w:val="1"/>
      <w:marLeft w:val="0"/>
      <w:marRight w:val="0"/>
      <w:marTop w:val="0"/>
      <w:marBottom w:val="0"/>
      <w:divBdr>
        <w:top w:val="none" w:sz="0" w:space="0" w:color="auto"/>
        <w:left w:val="none" w:sz="0" w:space="0" w:color="auto"/>
        <w:bottom w:val="none" w:sz="0" w:space="0" w:color="auto"/>
        <w:right w:val="none" w:sz="0" w:space="0" w:color="auto"/>
      </w:divBdr>
    </w:div>
    <w:div w:id="447705395">
      <w:bodyDiv w:val="1"/>
      <w:marLeft w:val="0"/>
      <w:marRight w:val="0"/>
      <w:marTop w:val="0"/>
      <w:marBottom w:val="0"/>
      <w:divBdr>
        <w:top w:val="none" w:sz="0" w:space="0" w:color="auto"/>
        <w:left w:val="none" w:sz="0" w:space="0" w:color="auto"/>
        <w:bottom w:val="none" w:sz="0" w:space="0" w:color="auto"/>
        <w:right w:val="none" w:sz="0" w:space="0" w:color="auto"/>
      </w:divBdr>
    </w:div>
    <w:div w:id="476610044">
      <w:bodyDiv w:val="1"/>
      <w:marLeft w:val="0"/>
      <w:marRight w:val="0"/>
      <w:marTop w:val="0"/>
      <w:marBottom w:val="0"/>
      <w:divBdr>
        <w:top w:val="none" w:sz="0" w:space="0" w:color="auto"/>
        <w:left w:val="none" w:sz="0" w:space="0" w:color="auto"/>
        <w:bottom w:val="none" w:sz="0" w:space="0" w:color="auto"/>
        <w:right w:val="none" w:sz="0" w:space="0" w:color="auto"/>
      </w:divBdr>
    </w:div>
    <w:div w:id="495340209">
      <w:bodyDiv w:val="1"/>
      <w:marLeft w:val="0"/>
      <w:marRight w:val="0"/>
      <w:marTop w:val="0"/>
      <w:marBottom w:val="0"/>
      <w:divBdr>
        <w:top w:val="none" w:sz="0" w:space="0" w:color="auto"/>
        <w:left w:val="none" w:sz="0" w:space="0" w:color="auto"/>
        <w:bottom w:val="none" w:sz="0" w:space="0" w:color="auto"/>
        <w:right w:val="none" w:sz="0" w:space="0" w:color="auto"/>
      </w:divBdr>
    </w:div>
    <w:div w:id="768234525">
      <w:bodyDiv w:val="1"/>
      <w:marLeft w:val="0"/>
      <w:marRight w:val="0"/>
      <w:marTop w:val="0"/>
      <w:marBottom w:val="0"/>
      <w:divBdr>
        <w:top w:val="none" w:sz="0" w:space="0" w:color="auto"/>
        <w:left w:val="none" w:sz="0" w:space="0" w:color="auto"/>
        <w:bottom w:val="none" w:sz="0" w:space="0" w:color="auto"/>
        <w:right w:val="none" w:sz="0" w:space="0" w:color="auto"/>
      </w:divBdr>
    </w:div>
    <w:div w:id="1033189332">
      <w:bodyDiv w:val="1"/>
      <w:marLeft w:val="0"/>
      <w:marRight w:val="0"/>
      <w:marTop w:val="0"/>
      <w:marBottom w:val="0"/>
      <w:divBdr>
        <w:top w:val="none" w:sz="0" w:space="0" w:color="auto"/>
        <w:left w:val="none" w:sz="0" w:space="0" w:color="auto"/>
        <w:bottom w:val="none" w:sz="0" w:space="0" w:color="auto"/>
        <w:right w:val="none" w:sz="0" w:space="0" w:color="auto"/>
      </w:divBdr>
    </w:div>
    <w:div w:id="1349058860">
      <w:bodyDiv w:val="1"/>
      <w:marLeft w:val="0"/>
      <w:marRight w:val="0"/>
      <w:marTop w:val="0"/>
      <w:marBottom w:val="0"/>
      <w:divBdr>
        <w:top w:val="none" w:sz="0" w:space="0" w:color="auto"/>
        <w:left w:val="none" w:sz="0" w:space="0" w:color="auto"/>
        <w:bottom w:val="none" w:sz="0" w:space="0" w:color="auto"/>
        <w:right w:val="none" w:sz="0" w:space="0" w:color="auto"/>
      </w:divBdr>
    </w:div>
    <w:div w:id="1534879975">
      <w:bodyDiv w:val="1"/>
      <w:marLeft w:val="0"/>
      <w:marRight w:val="0"/>
      <w:marTop w:val="0"/>
      <w:marBottom w:val="0"/>
      <w:divBdr>
        <w:top w:val="none" w:sz="0" w:space="0" w:color="auto"/>
        <w:left w:val="none" w:sz="0" w:space="0" w:color="auto"/>
        <w:bottom w:val="none" w:sz="0" w:space="0" w:color="auto"/>
        <w:right w:val="none" w:sz="0" w:space="0" w:color="auto"/>
      </w:divBdr>
    </w:div>
    <w:div w:id="1604075729">
      <w:bodyDiv w:val="1"/>
      <w:marLeft w:val="0"/>
      <w:marRight w:val="0"/>
      <w:marTop w:val="0"/>
      <w:marBottom w:val="0"/>
      <w:divBdr>
        <w:top w:val="none" w:sz="0" w:space="0" w:color="auto"/>
        <w:left w:val="none" w:sz="0" w:space="0" w:color="auto"/>
        <w:bottom w:val="none" w:sz="0" w:space="0" w:color="auto"/>
        <w:right w:val="none" w:sz="0" w:space="0" w:color="auto"/>
      </w:divBdr>
    </w:div>
    <w:div w:id="1989818965">
      <w:bodyDiv w:val="1"/>
      <w:marLeft w:val="0"/>
      <w:marRight w:val="0"/>
      <w:marTop w:val="0"/>
      <w:marBottom w:val="0"/>
      <w:divBdr>
        <w:top w:val="none" w:sz="0" w:space="0" w:color="auto"/>
        <w:left w:val="none" w:sz="0" w:space="0" w:color="auto"/>
        <w:bottom w:val="none" w:sz="0" w:space="0" w:color="auto"/>
        <w:right w:val="none" w:sz="0" w:space="0" w:color="auto"/>
      </w:divBdr>
    </w:div>
    <w:div w:id="20348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alcaldiabogota.gov.co/sisjur/normas/Norma1.jsp?i=41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6123</TotalTime>
  <Pages>1</Pages>
  <Words>3548</Words>
  <Characters>19520</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VIRGILIO FARFAN ROJAS</dc:creator>
  <cp:keywords/>
  <dc:description/>
  <cp:lastModifiedBy>Claudia Suárez</cp:lastModifiedBy>
  <cp:revision>37</cp:revision>
  <cp:lastPrinted>2024-02-01T14:56:00Z</cp:lastPrinted>
  <dcterms:created xsi:type="dcterms:W3CDTF">2024-07-17T13:58:00Z</dcterms:created>
  <dcterms:modified xsi:type="dcterms:W3CDTF">2025-01-13T02:07:00Z</dcterms:modified>
</cp:coreProperties>
</file>